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16"/>
      </w:tblGrid>
      <w:tr w:rsidR="00B335DD" w:rsidRPr="0044148C" w14:paraId="4882020F" w14:textId="77777777">
        <w:tc>
          <w:tcPr>
            <w:tcW w:w="8416" w:type="dxa"/>
            <w:tcBorders>
              <w:top w:val="single" w:sz="4" w:space="0" w:color="auto"/>
              <w:left w:val="nil"/>
              <w:bottom w:val="single" w:sz="4" w:space="0" w:color="auto"/>
              <w:right w:val="nil"/>
            </w:tcBorders>
            <w:tcMar>
              <w:top w:w="0" w:type="dxa"/>
              <w:left w:w="108" w:type="dxa"/>
              <w:bottom w:w="0" w:type="dxa"/>
              <w:right w:w="108" w:type="dxa"/>
            </w:tcMar>
          </w:tcPr>
          <w:p w14:paraId="10242232" w14:textId="77777777" w:rsidR="00B335DD" w:rsidRPr="0044148C" w:rsidRDefault="00B335DD">
            <w:pPr>
              <w:adjustRightInd/>
              <w:jc w:val="both"/>
              <w:rPr>
                <w:b/>
                <w:sz w:val="22"/>
                <w:lang w:val="en-IE" w:eastAsia="en-IE"/>
              </w:rPr>
            </w:pPr>
            <w:bookmarkStart w:id="0" w:name="ReopenDocument"/>
            <w:bookmarkEnd w:id="0"/>
          </w:p>
          <w:p w14:paraId="55408439" w14:textId="529E0D47" w:rsidR="00B335DD" w:rsidRPr="0044148C" w:rsidRDefault="00BD3845">
            <w:pPr>
              <w:adjustRightInd/>
              <w:jc w:val="both"/>
              <w:rPr>
                <w:b/>
                <w:sz w:val="22"/>
                <w:lang w:val="en-IE" w:eastAsia="en-IE"/>
              </w:rPr>
            </w:pPr>
            <w:r>
              <w:rPr>
                <w:b/>
                <w:sz w:val="22"/>
                <w:lang w:val="en-IE" w:eastAsia="en-IE"/>
              </w:rPr>
              <w:t xml:space="preserve">This document is a supplement to the </w:t>
            </w:r>
            <w:r w:rsidR="00FA3B15">
              <w:rPr>
                <w:b/>
                <w:sz w:val="22"/>
                <w:lang w:val="en-IE" w:eastAsia="en-IE"/>
              </w:rPr>
              <w:t>p</w:t>
            </w:r>
            <w:r>
              <w:rPr>
                <w:b/>
                <w:sz w:val="22"/>
                <w:lang w:val="en-IE" w:eastAsia="en-IE"/>
              </w:rPr>
              <w:t>rospectus</w:t>
            </w:r>
            <w:r w:rsidR="00FA3B15">
              <w:rPr>
                <w:b/>
                <w:sz w:val="22"/>
                <w:lang w:val="en-IE" w:eastAsia="en-IE"/>
              </w:rPr>
              <w:t xml:space="preserve"> dated 12 March 2024</w:t>
            </w:r>
            <w:r w:rsidR="00996F39">
              <w:rPr>
                <w:b/>
                <w:sz w:val="22"/>
                <w:lang w:val="en-IE" w:eastAsia="en-IE"/>
              </w:rPr>
              <w:t xml:space="preserve"> </w:t>
            </w:r>
            <w:r w:rsidR="009E572A">
              <w:rPr>
                <w:b/>
                <w:sz w:val="22"/>
                <w:lang w:val="en-IE" w:eastAsia="en-IE"/>
              </w:rPr>
              <w:t>(</w:t>
            </w:r>
            <w:r w:rsidR="00D81E64">
              <w:rPr>
                <w:b/>
                <w:sz w:val="22"/>
                <w:lang w:val="en-IE" w:eastAsia="en-IE"/>
              </w:rPr>
              <w:t>as amended from time to time</w:t>
            </w:r>
            <w:r>
              <w:rPr>
                <w:b/>
                <w:sz w:val="22"/>
                <w:lang w:val="en-IE" w:eastAsia="en-IE"/>
              </w:rPr>
              <w:t xml:space="preserve">) </w:t>
            </w:r>
            <w:r w:rsidR="009E572A">
              <w:rPr>
                <w:b/>
                <w:sz w:val="22"/>
                <w:lang w:val="en-IE" w:eastAsia="en-IE"/>
              </w:rPr>
              <w:t xml:space="preserve">(the “Prospectus”) </w:t>
            </w:r>
            <w:r>
              <w:rPr>
                <w:b/>
                <w:sz w:val="22"/>
                <w:lang w:val="en-IE" w:eastAsia="en-IE"/>
              </w:rPr>
              <w:t xml:space="preserve">issued by FundRock UCITS Platform I ICAV (the “ICAV”).  This Supplement forms part of, and should be read in conjunction with, the Prospectus.  </w:t>
            </w:r>
          </w:p>
          <w:p w14:paraId="271D510E" w14:textId="77777777" w:rsidR="00B335DD" w:rsidRPr="0044148C" w:rsidRDefault="00B335DD">
            <w:pPr>
              <w:adjustRightInd/>
              <w:jc w:val="both"/>
              <w:rPr>
                <w:b/>
                <w:sz w:val="22"/>
                <w:lang w:val="en-IE" w:eastAsia="en-IE"/>
              </w:rPr>
            </w:pPr>
          </w:p>
          <w:p w14:paraId="2ABB5177" w14:textId="77777777" w:rsidR="00B335DD" w:rsidRPr="0044148C" w:rsidRDefault="00BD3845">
            <w:pPr>
              <w:adjustRightInd/>
              <w:jc w:val="both"/>
              <w:rPr>
                <w:sz w:val="22"/>
                <w:lang w:val="en-IE" w:eastAsia="en-IE"/>
              </w:rPr>
            </w:pPr>
            <w:r>
              <w:rPr>
                <w:sz w:val="22"/>
                <w:lang w:val="en-IE" w:eastAsia="en-IE"/>
              </w:rPr>
              <w:t xml:space="preserve">Investors’ attention is drawn, in particular, to the risk warnings contained in the section of the Prospectus entitled “Special Considerations and Risk Factors”.  </w:t>
            </w:r>
          </w:p>
          <w:p w14:paraId="6F3111BA" w14:textId="77777777" w:rsidR="00B335DD" w:rsidRPr="0044148C" w:rsidRDefault="00B335DD">
            <w:pPr>
              <w:adjustRightInd/>
              <w:jc w:val="both"/>
              <w:rPr>
                <w:b/>
                <w:sz w:val="22"/>
                <w:lang w:val="en-IE" w:eastAsia="en-IE"/>
              </w:rPr>
            </w:pPr>
          </w:p>
        </w:tc>
      </w:tr>
    </w:tbl>
    <w:p w14:paraId="3E95CC18" w14:textId="77777777" w:rsidR="00B335DD" w:rsidRPr="0044148C" w:rsidRDefault="00B335DD">
      <w:pPr>
        <w:adjustRightInd/>
        <w:jc w:val="both"/>
        <w:rPr>
          <w:sz w:val="22"/>
          <w:lang w:val="en-IE" w:eastAsia="en-IE"/>
        </w:rPr>
      </w:pPr>
    </w:p>
    <w:p w14:paraId="13C39BF9" w14:textId="77777777" w:rsidR="00B335DD" w:rsidRPr="0044148C" w:rsidRDefault="00B335DD">
      <w:pPr>
        <w:adjustRightInd/>
        <w:jc w:val="both"/>
        <w:rPr>
          <w:sz w:val="22"/>
          <w:lang w:val="en-IE" w:eastAsia="en-IE"/>
        </w:rPr>
      </w:pPr>
    </w:p>
    <w:p w14:paraId="52435E79" w14:textId="77777777" w:rsidR="00B335DD" w:rsidRPr="0044148C" w:rsidRDefault="00B335DD">
      <w:pPr>
        <w:adjustRightInd/>
        <w:jc w:val="both"/>
        <w:rPr>
          <w:sz w:val="22"/>
          <w:lang w:val="en-IE" w:eastAsia="en-IE"/>
        </w:rPr>
      </w:pPr>
    </w:p>
    <w:p w14:paraId="7D8C1894" w14:textId="77777777" w:rsidR="00B335DD" w:rsidRPr="0044148C" w:rsidRDefault="00B335DD">
      <w:pPr>
        <w:tabs>
          <w:tab w:val="left" w:pos="8306"/>
        </w:tabs>
        <w:adjustRightInd/>
        <w:jc w:val="both"/>
        <w:rPr>
          <w:sz w:val="22"/>
          <w:u w:val="single"/>
          <w:lang w:val="en-IE" w:eastAsia="en-IE"/>
        </w:rPr>
      </w:pPr>
    </w:p>
    <w:p w14:paraId="0297D0B1" w14:textId="77777777" w:rsidR="00B335DD" w:rsidRPr="0044148C" w:rsidRDefault="00BD3845">
      <w:pPr>
        <w:jc w:val="center"/>
        <w:rPr>
          <w:b/>
          <w:sz w:val="22"/>
          <w:lang w:val="en-IE" w:eastAsia="en-IE"/>
        </w:rPr>
      </w:pPr>
      <w:r>
        <w:rPr>
          <w:b/>
          <w:sz w:val="22"/>
          <w:lang w:val="en-IE" w:eastAsia="en-IE"/>
        </w:rPr>
        <w:t>FUNDROCK UCITS PLATFORM I ICAV</w:t>
      </w:r>
    </w:p>
    <w:p w14:paraId="152DD192" w14:textId="77777777" w:rsidR="00B335DD" w:rsidRPr="0044148C" w:rsidRDefault="00B335DD">
      <w:pPr>
        <w:jc w:val="center"/>
        <w:rPr>
          <w:sz w:val="22"/>
          <w:lang w:val="en-IE" w:eastAsia="en-IE"/>
        </w:rPr>
      </w:pPr>
    </w:p>
    <w:p w14:paraId="19CD9B85" w14:textId="77777777" w:rsidR="00B335DD" w:rsidRPr="0044148C" w:rsidRDefault="00BD3845">
      <w:pPr>
        <w:adjustRightInd/>
        <w:jc w:val="center"/>
        <w:rPr>
          <w:sz w:val="22"/>
          <w:lang w:val="en-IE" w:eastAsia="en-IE"/>
        </w:rPr>
      </w:pPr>
      <w:r>
        <w:rPr>
          <w:sz w:val="22"/>
        </w:rPr>
        <w:t>(an open-ended Irish collective asset-management vehicle with registered number C</w:t>
      </w:r>
      <w:r>
        <w:rPr>
          <w:sz w:val="22"/>
          <w:lang w:val="en-IE" w:eastAsia="en-IE"/>
        </w:rPr>
        <w:t xml:space="preserve">447841 </w:t>
      </w:r>
      <w:r>
        <w:rPr>
          <w:sz w:val="22"/>
        </w:rPr>
        <w:t xml:space="preserve">structured as an umbrella fund with segregated liability between Funds pursuant to the </w:t>
      </w:r>
    </w:p>
    <w:p w14:paraId="7FD400C0" w14:textId="77777777" w:rsidR="00B335DD" w:rsidRPr="0044148C" w:rsidRDefault="00BD3845">
      <w:pPr>
        <w:adjustRightInd/>
        <w:jc w:val="center"/>
        <w:rPr>
          <w:sz w:val="22"/>
        </w:rPr>
      </w:pPr>
      <w:r>
        <w:rPr>
          <w:sz w:val="22"/>
        </w:rPr>
        <w:t>European Communities (Undertakings for Collective Investment in Transferable Securities) Regulations 2011, as amended)</w:t>
      </w:r>
    </w:p>
    <w:p w14:paraId="032DB1E0" w14:textId="77777777" w:rsidR="00B335DD" w:rsidRPr="0044148C" w:rsidRDefault="00B335DD">
      <w:pPr>
        <w:adjustRightInd/>
        <w:jc w:val="center"/>
        <w:rPr>
          <w:b/>
          <w:sz w:val="22"/>
          <w:lang w:val="en-IE" w:eastAsia="en-IE"/>
        </w:rPr>
      </w:pPr>
    </w:p>
    <w:p w14:paraId="0B0D960D" w14:textId="77777777" w:rsidR="00B335DD" w:rsidRPr="0044148C" w:rsidRDefault="00B335DD">
      <w:pPr>
        <w:adjustRightInd/>
        <w:jc w:val="both"/>
        <w:rPr>
          <w:sz w:val="22"/>
          <w:lang w:val="en-IE" w:eastAsia="en-IE"/>
        </w:rPr>
      </w:pPr>
    </w:p>
    <w:p w14:paraId="234222A1" w14:textId="77777777" w:rsidR="00B335DD" w:rsidRPr="0044148C" w:rsidRDefault="00B335DD">
      <w:pPr>
        <w:adjustRightInd/>
        <w:jc w:val="both"/>
        <w:rPr>
          <w:sz w:val="22"/>
          <w:lang w:val="en-IE" w:eastAsia="en-IE"/>
        </w:rPr>
      </w:pPr>
    </w:p>
    <w:p w14:paraId="3B3743E9" w14:textId="77777777" w:rsidR="00B335DD" w:rsidRPr="0044148C" w:rsidRDefault="00B335DD">
      <w:pPr>
        <w:adjustRightInd/>
        <w:jc w:val="both"/>
        <w:rPr>
          <w:sz w:val="22"/>
          <w:lang w:val="en-IE" w:eastAsia="en-IE"/>
        </w:rPr>
      </w:pPr>
    </w:p>
    <w:p w14:paraId="52350C89" w14:textId="77777777" w:rsidR="00B335DD" w:rsidRPr="0044148C" w:rsidRDefault="00BD3845">
      <w:pPr>
        <w:adjustRightInd/>
        <w:jc w:val="center"/>
        <w:rPr>
          <w:b/>
          <w:sz w:val="22"/>
          <w:lang w:val="en-IE" w:eastAsia="en-IE"/>
        </w:rPr>
      </w:pPr>
      <w:r>
        <w:rPr>
          <w:b/>
          <w:sz w:val="22"/>
          <w:lang w:val="en-IE" w:eastAsia="en-IE"/>
        </w:rPr>
        <w:t>SUPPLEMENT</w:t>
      </w:r>
    </w:p>
    <w:p w14:paraId="582EBF7B" w14:textId="77777777" w:rsidR="00B335DD" w:rsidRPr="0044148C" w:rsidRDefault="00B335DD">
      <w:pPr>
        <w:adjustRightInd/>
        <w:jc w:val="center"/>
        <w:rPr>
          <w:b/>
          <w:sz w:val="22"/>
          <w:lang w:val="en-IE" w:eastAsia="en-IE"/>
        </w:rPr>
      </w:pPr>
    </w:p>
    <w:p w14:paraId="1474B81D" w14:textId="77777777" w:rsidR="00B335DD" w:rsidRPr="0044148C" w:rsidRDefault="00BD3845">
      <w:pPr>
        <w:adjustRightInd/>
        <w:jc w:val="center"/>
        <w:rPr>
          <w:b/>
          <w:sz w:val="22"/>
          <w:lang w:val="en-IE" w:eastAsia="en-IE"/>
        </w:rPr>
      </w:pPr>
      <w:r>
        <w:rPr>
          <w:b/>
          <w:sz w:val="22"/>
          <w:lang w:val="en-IE" w:eastAsia="en-IE"/>
        </w:rPr>
        <w:t>in respect of</w:t>
      </w:r>
    </w:p>
    <w:p w14:paraId="5CC7EFA0" w14:textId="77777777" w:rsidR="007445FE" w:rsidRPr="0044148C" w:rsidRDefault="007445FE">
      <w:pPr>
        <w:adjustRightInd/>
        <w:jc w:val="center"/>
        <w:rPr>
          <w:b/>
          <w:sz w:val="22"/>
          <w:lang w:val="en-IE" w:eastAsia="en-IE"/>
        </w:rPr>
      </w:pPr>
      <w:r>
        <w:rPr>
          <w:b/>
          <w:sz w:val="22"/>
          <w:lang w:val="en-IE" w:eastAsia="en-IE"/>
        </w:rPr>
        <w:t>GOEHRING &amp; ROZENCWAJG RESOURCES FUND</w:t>
      </w:r>
    </w:p>
    <w:p w14:paraId="7D40A4B6" w14:textId="77777777" w:rsidR="00B335DD" w:rsidRPr="0044148C" w:rsidRDefault="00B335DD">
      <w:pPr>
        <w:adjustRightInd/>
        <w:jc w:val="both"/>
        <w:rPr>
          <w:sz w:val="22"/>
          <w:lang w:val="en-IE" w:eastAsia="en-IE"/>
        </w:rPr>
      </w:pPr>
    </w:p>
    <w:p w14:paraId="33FBE748" w14:textId="77777777" w:rsidR="00B335DD" w:rsidRPr="0044148C" w:rsidRDefault="00B335DD">
      <w:pPr>
        <w:adjustRightInd/>
        <w:jc w:val="both"/>
        <w:rPr>
          <w:sz w:val="22"/>
          <w:lang w:val="en-IE" w:eastAsia="en-IE"/>
        </w:rPr>
      </w:pPr>
    </w:p>
    <w:p w14:paraId="61E49716" w14:textId="77777777" w:rsidR="00B335DD" w:rsidRPr="0044148C" w:rsidRDefault="00B335DD">
      <w:pPr>
        <w:adjustRightInd/>
        <w:jc w:val="both"/>
        <w:rPr>
          <w:sz w:val="22"/>
          <w:lang w:val="en-IE" w:eastAsia="en-IE"/>
        </w:rPr>
      </w:pPr>
    </w:p>
    <w:p w14:paraId="19851058" w14:textId="77777777" w:rsidR="00B335DD" w:rsidRPr="0044148C" w:rsidRDefault="00B335DD">
      <w:pPr>
        <w:adjustRightInd/>
        <w:jc w:val="both"/>
        <w:rPr>
          <w:sz w:val="22"/>
          <w:lang w:val="en-IE" w:eastAsia="en-IE"/>
        </w:rPr>
      </w:pPr>
    </w:p>
    <w:p w14:paraId="20D0C248" w14:textId="77777777" w:rsidR="00B335DD" w:rsidRPr="0044148C" w:rsidRDefault="00B335DD">
      <w:pPr>
        <w:adjustRightInd/>
        <w:jc w:val="both"/>
        <w:rPr>
          <w:sz w:val="22"/>
          <w:lang w:val="en-IE" w:eastAsia="en-IE"/>
        </w:rPr>
      </w:pPr>
    </w:p>
    <w:p w14:paraId="03BA147C" w14:textId="77777777" w:rsidR="00B335DD" w:rsidRPr="0044148C" w:rsidRDefault="00B335DD">
      <w:pPr>
        <w:adjustRightInd/>
        <w:jc w:val="both"/>
        <w:rPr>
          <w:sz w:val="22"/>
          <w:lang w:val="en-IE" w:eastAsia="en-IE"/>
        </w:rPr>
      </w:pPr>
    </w:p>
    <w:p w14:paraId="14B081BC" w14:textId="77777777" w:rsidR="00B335DD" w:rsidRPr="0044148C" w:rsidRDefault="00B335DD">
      <w:pPr>
        <w:adjustRightInd/>
        <w:jc w:val="center"/>
        <w:rPr>
          <w:b/>
          <w:sz w:val="22"/>
          <w:lang w:val="en-IE" w:eastAsia="en-IE"/>
        </w:rPr>
      </w:pPr>
    </w:p>
    <w:p w14:paraId="526DD4F9" w14:textId="77777777" w:rsidR="00B335DD" w:rsidRPr="0044148C" w:rsidRDefault="00B335DD">
      <w:pPr>
        <w:adjustRightInd/>
        <w:jc w:val="center"/>
        <w:rPr>
          <w:b/>
          <w:sz w:val="22"/>
          <w:lang w:val="en-IE" w:eastAsia="en-IE"/>
        </w:rPr>
      </w:pPr>
    </w:p>
    <w:p w14:paraId="5A903FD4" w14:textId="77777777" w:rsidR="00B335DD" w:rsidRPr="0044148C" w:rsidRDefault="00B335DD">
      <w:pPr>
        <w:adjustRightInd/>
        <w:jc w:val="center"/>
        <w:rPr>
          <w:b/>
          <w:sz w:val="22"/>
          <w:lang w:val="en-IE" w:eastAsia="en-IE"/>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16"/>
      </w:tblGrid>
      <w:tr w:rsidR="00B335DD" w:rsidRPr="0044148C" w14:paraId="178F28F3" w14:textId="77777777">
        <w:tc>
          <w:tcPr>
            <w:tcW w:w="8416" w:type="dxa"/>
            <w:tcBorders>
              <w:top w:val="single" w:sz="4" w:space="0" w:color="auto"/>
              <w:left w:val="nil"/>
              <w:bottom w:val="single" w:sz="4" w:space="0" w:color="auto"/>
              <w:right w:val="nil"/>
            </w:tcBorders>
            <w:tcMar>
              <w:top w:w="0" w:type="dxa"/>
              <w:left w:w="108" w:type="dxa"/>
              <w:bottom w:w="0" w:type="dxa"/>
              <w:right w:w="108" w:type="dxa"/>
            </w:tcMar>
          </w:tcPr>
          <w:p w14:paraId="6AED8D04" w14:textId="77777777" w:rsidR="00B335DD" w:rsidRPr="0044148C" w:rsidRDefault="00B335DD">
            <w:pPr>
              <w:adjustRightInd/>
              <w:jc w:val="center"/>
              <w:rPr>
                <w:b/>
                <w:sz w:val="22"/>
                <w:lang w:val="en-IE" w:eastAsia="en-IE"/>
              </w:rPr>
            </w:pPr>
          </w:p>
          <w:p w14:paraId="3647CCF6" w14:textId="77777777" w:rsidR="00B335DD" w:rsidRPr="0044148C" w:rsidRDefault="00BD3845">
            <w:pPr>
              <w:adjustRightInd/>
              <w:jc w:val="both"/>
              <w:rPr>
                <w:sz w:val="22"/>
              </w:rPr>
            </w:pPr>
            <w:r>
              <w:rPr>
                <w:sz w:val="22"/>
              </w:rPr>
              <w:t>The Directors of the ICAV, whose names appear in the Prospectus, accept responsibility for the information contained in this Supplement.  To the best of the knowledge and belief of the Directors (who have taken all reasonable care to ensure that such is the case), the information contained in this document is in accordance with the facts and does not omit anything likely to affect the import of such information.  Unless otherwise stated, all capitalised terms shall have the same meaning herein as in the Prospectus.</w:t>
            </w:r>
          </w:p>
          <w:p w14:paraId="7B8ED29A" w14:textId="77777777" w:rsidR="00B335DD" w:rsidRPr="0044148C" w:rsidRDefault="00B335DD">
            <w:pPr>
              <w:adjustRightInd/>
              <w:jc w:val="both"/>
              <w:rPr>
                <w:sz w:val="22"/>
              </w:rPr>
            </w:pPr>
          </w:p>
          <w:p w14:paraId="31326AF6" w14:textId="4C4353BA" w:rsidR="00B335DD" w:rsidRPr="0044148C" w:rsidRDefault="00BD3845">
            <w:pPr>
              <w:adjustRightInd/>
              <w:jc w:val="both"/>
              <w:rPr>
                <w:sz w:val="22"/>
              </w:rPr>
            </w:pPr>
            <w:r>
              <w:rPr>
                <w:sz w:val="22"/>
              </w:rPr>
              <w:t xml:space="preserve">The date of this Supplement is </w:t>
            </w:r>
            <w:r w:rsidR="00EF5894">
              <w:rPr>
                <w:sz w:val="22"/>
              </w:rPr>
              <w:t>[</w:t>
            </w:r>
            <w:r w:rsidR="00EF5894">
              <w:rPr>
                <w:sz w:val="22"/>
              </w:rPr>
              <w:sym w:font="Wingdings" w:char="F06C"/>
            </w:r>
            <w:r w:rsidR="00EF5894">
              <w:rPr>
                <w:sz w:val="22"/>
              </w:rPr>
              <w:t>]</w:t>
            </w:r>
            <w:r w:rsidR="00536426">
              <w:rPr>
                <w:sz w:val="22"/>
              </w:rPr>
              <w:t xml:space="preserve"> 202</w:t>
            </w:r>
            <w:r w:rsidR="001B647D">
              <w:rPr>
                <w:sz w:val="22"/>
              </w:rPr>
              <w:t>4</w:t>
            </w:r>
            <w:r>
              <w:rPr>
                <w:sz w:val="22"/>
              </w:rPr>
              <w:t>.</w:t>
            </w:r>
          </w:p>
          <w:p w14:paraId="763E3382" w14:textId="77777777" w:rsidR="00B335DD" w:rsidRPr="0044148C" w:rsidRDefault="00B335DD">
            <w:pPr>
              <w:adjustRightInd/>
              <w:jc w:val="both"/>
              <w:rPr>
                <w:sz w:val="22"/>
              </w:rPr>
            </w:pPr>
          </w:p>
          <w:p w14:paraId="4B4B01C1" w14:textId="77777777" w:rsidR="00B335DD" w:rsidRPr="0044148C" w:rsidRDefault="00B335DD">
            <w:pPr>
              <w:adjustRightInd/>
              <w:jc w:val="center"/>
              <w:rPr>
                <w:b/>
                <w:sz w:val="22"/>
                <w:lang w:val="en-IE" w:eastAsia="en-IE"/>
              </w:rPr>
            </w:pPr>
          </w:p>
        </w:tc>
      </w:tr>
    </w:tbl>
    <w:p w14:paraId="6A22B1F7" w14:textId="77777777" w:rsidR="00B335DD" w:rsidRPr="0044148C" w:rsidRDefault="00B335DD">
      <w:pPr>
        <w:adjustRightInd/>
        <w:jc w:val="both"/>
        <w:rPr>
          <w:b/>
          <w:sz w:val="22"/>
          <w:lang w:val="en-IE" w:eastAsia="en-IE"/>
        </w:rPr>
      </w:pPr>
    </w:p>
    <w:p w14:paraId="501239B4" w14:textId="77777777" w:rsidR="00B335DD" w:rsidRPr="0044148C" w:rsidRDefault="00B335DD">
      <w:pPr>
        <w:adjustRightInd/>
        <w:jc w:val="both"/>
        <w:rPr>
          <w:sz w:val="22"/>
          <w:highlight w:val="yellow"/>
        </w:rPr>
      </w:pPr>
    </w:p>
    <w:p w14:paraId="663C9A96" w14:textId="3257C31E" w:rsidR="00B335DD" w:rsidRPr="0044148C" w:rsidRDefault="00EF5894" w:rsidP="009E65A1">
      <w:pPr>
        <w:adjustRightInd/>
        <w:rPr>
          <w:sz w:val="22"/>
          <w:highlight w:val="yellow"/>
        </w:rPr>
        <w:sectPr w:rsidR="00B335DD" w:rsidRPr="0044148C" w:rsidSect="00AE6B78">
          <w:headerReference w:type="even" r:id="rId11"/>
          <w:headerReference w:type="default" r:id="rId12"/>
          <w:footerReference w:type="even" r:id="rId13"/>
          <w:footerReference w:type="default" r:id="rId14"/>
          <w:headerReference w:type="first" r:id="rId15"/>
          <w:footerReference w:type="first" r:id="rId16"/>
          <w:pgSz w:w="11908" w:h="16833"/>
          <w:pgMar w:top="1440" w:right="1800" w:bottom="1440" w:left="1800" w:header="720" w:footer="720" w:gutter="0"/>
          <w:pgNumType w:start="1"/>
          <w:cols w:space="720"/>
          <w:noEndnote/>
          <w:titlePg/>
        </w:sectPr>
      </w:pPr>
      <w:r>
        <w:rPr>
          <w:b/>
          <w:bCs/>
          <w:sz w:val="22"/>
        </w:rPr>
        <w:br w:type="page"/>
      </w:r>
    </w:p>
    <w:p w14:paraId="3E03516C" w14:textId="77777777" w:rsidR="00B335DD" w:rsidRPr="0044148C" w:rsidRDefault="00B335DD">
      <w:pPr>
        <w:pStyle w:val="TOCHeading"/>
        <w:adjustRightInd/>
        <w:rPr>
          <w:rFonts w:ascii="Times New Roman" w:hAnsi="Times New Roman" w:cs="Times New Roman"/>
          <w:color w:val="auto"/>
          <w:sz w:val="22"/>
          <w:szCs w:val="24"/>
        </w:rPr>
      </w:pPr>
    </w:p>
    <w:p w14:paraId="2057696A" w14:textId="6447C866"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DEFINITIONS</w:t>
      </w:r>
      <w:r>
        <w:rPr>
          <w:noProof/>
          <w:color w:val="000000"/>
          <w:sz w:val="22"/>
          <w:lang w:eastAsia="en-IE"/>
        </w:rPr>
        <w:tab/>
        <w:t>3</w:t>
      </w:r>
    </w:p>
    <w:p w14:paraId="5473BE6E" w14:textId="03E2EB8D"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INTRODUCTION</w:t>
      </w:r>
      <w:r>
        <w:rPr>
          <w:rFonts w:eastAsia="Yu Gothic UI"/>
          <w:noProof/>
          <w:color w:val="000000"/>
          <w:sz w:val="22"/>
          <w:lang w:eastAsia="en-IE"/>
        </w:rPr>
        <w:tab/>
        <w:t>5</w:t>
      </w:r>
    </w:p>
    <w:p w14:paraId="775D6144" w14:textId="1F2AF3E7"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INVESTMENT OBJECTIVE AND POLICY</w:t>
      </w:r>
      <w:r>
        <w:rPr>
          <w:rFonts w:eastAsia="Yu Gothic UI"/>
          <w:noProof/>
          <w:color w:val="000000"/>
          <w:sz w:val="22"/>
          <w:lang w:eastAsia="en-IE"/>
        </w:rPr>
        <w:tab/>
        <w:t>5</w:t>
      </w:r>
    </w:p>
    <w:p w14:paraId="54696FB4" w14:textId="5091D362"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RISK FACTORS</w:t>
      </w:r>
      <w:r>
        <w:rPr>
          <w:rFonts w:eastAsia="Yu Gothic UI"/>
          <w:noProof/>
          <w:color w:val="000000"/>
          <w:sz w:val="22"/>
          <w:lang w:eastAsia="en-IE"/>
        </w:rPr>
        <w:tab/>
      </w:r>
      <w:r w:rsidR="00316F28">
        <w:rPr>
          <w:rFonts w:eastAsia="Yu Gothic UI"/>
          <w:noProof/>
          <w:color w:val="000000"/>
          <w:sz w:val="22"/>
          <w:lang w:eastAsia="en-IE"/>
        </w:rPr>
        <w:t>8</w:t>
      </w:r>
    </w:p>
    <w:p w14:paraId="6BEF2BEC" w14:textId="4DA2641D"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TAXATION</w:t>
      </w:r>
      <w:r>
        <w:rPr>
          <w:rFonts w:eastAsia="Yu Gothic UI"/>
          <w:noProof/>
          <w:color w:val="000000"/>
          <w:sz w:val="22"/>
          <w:lang w:eastAsia="en-IE"/>
        </w:rPr>
        <w:tab/>
        <w:t>10</w:t>
      </w:r>
    </w:p>
    <w:p w14:paraId="5174ED47" w14:textId="32DCA008"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SUBSCRIPTIONS AND REDEMPTIONS</w:t>
      </w:r>
      <w:r>
        <w:rPr>
          <w:noProof/>
          <w:color w:val="000000"/>
          <w:sz w:val="22"/>
          <w:lang w:eastAsia="en-IE"/>
        </w:rPr>
        <w:tab/>
        <w:t>10</w:t>
      </w:r>
    </w:p>
    <w:p w14:paraId="0DBF900B" w14:textId="4312E276"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FEES, COSTS AND EXPENSES</w:t>
      </w:r>
      <w:r>
        <w:rPr>
          <w:rFonts w:eastAsia="Yu Gothic UI"/>
          <w:noProof/>
          <w:color w:val="000000"/>
          <w:sz w:val="22"/>
          <w:lang w:eastAsia="en-IE"/>
        </w:rPr>
        <w:tab/>
        <w:t>12</w:t>
      </w:r>
    </w:p>
    <w:p w14:paraId="0905A1E8" w14:textId="5FC89C8E" w:rsidR="00B335DD" w:rsidRPr="0044148C" w:rsidRDefault="00BD3845">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APPENDIX 1</w:t>
      </w:r>
      <w:r>
        <w:rPr>
          <w:rFonts w:eastAsia="Yu Gothic UI"/>
          <w:noProof/>
          <w:color w:val="000000"/>
          <w:sz w:val="22"/>
          <w:lang w:eastAsia="en-IE"/>
        </w:rPr>
        <w:tab/>
        <w:t>1</w:t>
      </w:r>
      <w:r w:rsidR="00316F28">
        <w:rPr>
          <w:rFonts w:eastAsia="Yu Gothic UI"/>
          <w:noProof/>
          <w:color w:val="000000"/>
          <w:sz w:val="22"/>
          <w:lang w:eastAsia="en-IE"/>
        </w:rPr>
        <w:t>5</w:t>
      </w:r>
    </w:p>
    <w:p w14:paraId="35EE9CD0" w14:textId="197519F4" w:rsidR="00406E89" w:rsidRPr="0044148C" w:rsidRDefault="00406E89" w:rsidP="00406E89">
      <w:pPr>
        <w:tabs>
          <w:tab w:val="left" w:pos="720"/>
          <w:tab w:val="right" w:leader="dot" w:pos="8306"/>
        </w:tabs>
        <w:adjustRightInd/>
        <w:spacing w:after="240"/>
        <w:jc w:val="both"/>
        <w:rPr>
          <w:rFonts w:eastAsia="Yu Gothic UI"/>
          <w:noProof/>
          <w:color w:val="000000"/>
          <w:sz w:val="22"/>
          <w:lang w:eastAsia="en-IE"/>
        </w:rPr>
      </w:pPr>
      <w:r>
        <w:rPr>
          <w:rStyle w:val="Hyperlink"/>
          <w:noProof/>
          <w:color w:val="000000"/>
          <w:sz w:val="22"/>
          <w:u w:val="none"/>
          <w:lang w:eastAsia="en-IE"/>
        </w:rPr>
        <w:t>APPENDIX 2</w:t>
      </w:r>
      <w:r>
        <w:rPr>
          <w:rFonts w:eastAsia="Yu Gothic UI"/>
          <w:noProof/>
          <w:color w:val="000000"/>
          <w:sz w:val="22"/>
          <w:lang w:eastAsia="en-IE"/>
        </w:rPr>
        <w:tab/>
        <w:t>17</w:t>
      </w:r>
    </w:p>
    <w:p w14:paraId="382105B1" w14:textId="77777777" w:rsidR="00B335DD" w:rsidRPr="0044148C" w:rsidRDefault="00B335DD">
      <w:pPr>
        <w:adjustRightInd/>
        <w:rPr>
          <w:sz w:val="22"/>
        </w:rPr>
      </w:pPr>
    </w:p>
    <w:p w14:paraId="65E42AEB" w14:textId="77777777" w:rsidR="00B335DD" w:rsidRPr="0044148C" w:rsidRDefault="00B335DD">
      <w:pPr>
        <w:adjustRightInd/>
        <w:ind w:right="26"/>
        <w:jc w:val="both"/>
        <w:rPr>
          <w:sz w:val="22"/>
        </w:rPr>
      </w:pPr>
    </w:p>
    <w:p w14:paraId="7D4F6E7B" w14:textId="77777777" w:rsidR="00B335DD" w:rsidRPr="0044148C" w:rsidRDefault="00B335DD">
      <w:pPr>
        <w:tabs>
          <w:tab w:val="right" w:pos="7920"/>
        </w:tabs>
        <w:adjustRightInd/>
        <w:jc w:val="both"/>
        <w:rPr>
          <w:sz w:val="22"/>
          <w:highlight w:val="yellow"/>
        </w:rPr>
        <w:sectPr w:rsidR="00B335DD" w:rsidRPr="0044148C" w:rsidSect="00AE6B78">
          <w:headerReference w:type="default" r:id="rId17"/>
          <w:footerReference w:type="default" r:id="rId18"/>
          <w:headerReference w:type="first" r:id="rId19"/>
          <w:footerReference w:type="first" r:id="rId20"/>
          <w:pgSz w:w="11908" w:h="16833"/>
          <w:pgMar w:top="1440" w:right="1800" w:bottom="1440" w:left="1800" w:header="720" w:footer="720" w:gutter="0"/>
          <w:cols w:space="720"/>
          <w:noEndnote/>
          <w:titlePg/>
        </w:sectPr>
      </w:pPr>
    </w:p>
    <w:p w14:paraId="6B4E6136" w14:textId="77777777" w:rsidR="00B335DD" w:rsidRPr="0044148C" w:rsidRDefault="00BD3845">
      <w:pPr>
        <w:pStyle w:val="Heading1"/>
        <w:adjustRightInd/>
        <w:spacing w:before="0"/>
        <w:rPr>
          <w:rFonts w:ascii="Times New Roman" w:hAnsi="Times New Roman" w:cs="Times New Roman"/>
          <w:color w:val="auto"/>
          <w:sz w:val="22"/>
          <w:szCs w:val="24"/>
        </w:rPr>
      </w:pPr>
      <w:r>
        <w:rPr>
          <w:rFonts w:ascii="Times New Roman" w:eastAsia="MS Gothic" w:hAnsi="Times New Roman" w:cs="Times New Roman"/>
          <w:b/>
          <w:color w:val="auto"/>
          <w:sz w:val="22"/>
          <w:szCs w:val="24"/>
        </w:rPr>
        <w:lastRenderedPageBreak/>
        <w:t>DEFINITIONS</w:t>
      </w:r>
    </w:p>
    <w:p w14:paraId="38F450A0" w14:textId="77777777" w:rsidR="00B335DD" w:rsidRPr="0044148C" w:rsidRDefault="00B335DD">
      <w:pPr>
        <w:adjustRightInd/>
        <w:jc w:val="both"/>
        <w:rPr>
          <w:sz w:val="22"/>
        </w:rPr>
      </w:pPr>
    </w:p>
    <w:p w14:paraId="0FC5D548" w14:textId="77777777" w:rsidR="00B335DD" w:rsidRPr="0044148C" w:rsidRDefault="00BD3845">
      <w:pPr>
        <w:adjustRightInd/>
        <w:jc w:val="both"/>
        <w:rPr>
          <w:sz w:val="22"/>
        </w:rPr>
      </w:pPr>
      <w:r>
        <w:rPr>
          <w:sz w:val="22"/>
        </w:rPr>
        <w:t>The following definitions apply throughout this Supplement unless the context requires otherwise:</w:t>
      </w:r>
    </w:p>
    <w:p w14:paraId="3393E5C0" w14:textId="77777777" w:rsidR="00B335DD" w:rsidRPr="0044148C" w:rsidRDefault="00B335DD">
      <w:pPr>
        <w:tabs>
          <w:tab w:val="left" w:pos="4320"/>
        </w:tabs>
        <w:adjustRightInd/>
        <w:jc w:val="both"/>
        <w:rPr>
          <w:b/>
          <w:sz w:val="22"/>
        </w:rPr>
      </w:pPr>
    </w:p>
    <w:p w14:paraId="4BE1D23D" w14:textId="77777777" w:rsidR="00B335DD" w:rsidRPr="0044148C" w:rsidRDefault="00BD3845">
      <w:pPr>
        <w:adjustRightInd/>
        <w:ind w:left="4320" w:hanging="4320"/>
        <w:jc w:val="both"/>
        <w:rPr>
          <w:sz w:val="22"/>
        </w:rPr>
      </w:pPr>
      <w:r>
        <w:rPr>
          <w:b/>
          <w:sz w:val="22"/>
        </w:rPr>
        <w:t>“Business Day”</w:t>
      </w:r>
      <w:r>
        <w:rPr>
          <w:b/>
          <w:sz w:val="22"/>
        </w:rPr>
        <w:tab/>
      </w:r>
      <w:r>
        <w:rPr>
          <w:sz w:val="22"/>
        </w:rPr>
        <w:t xml:space="preserve">means a day on which </w:t>
      </w:r>
      <w:r w:rsidR="00D40859">
        <w:rPr>
          <w:sz w:val="22"/>
        </w:rPr>
        <w:t>banks in Ireland are</w:t>
      </w:r>
      <w:r>
        <w:rPr>
          <w:sz w:val="22"/>
        </w:rPr>
        <w:t xml:space="preserve"> open for normal business or such other day or days as may be determined by the Directors and notified to Shareholders;</w:t>
      </w:r>
    </w:p>
    <w:p w14:paraId="314B3FAF" w14:textId="77777777" w:rsidR="00B335DD" w:rsidRPr="0044148C" w:rsidRDefault="00B335DD">
      <w:pPr>
        <w:adjustRightInd/>
        <w:ind w:left="4320" w:hanging="4320"/>
        <w:jc w:val="both"/>
        <w:rPr>
          <w:b/>
          <w:sz w:val="22"/>
        </w:rPr>
      </w:pPr>
    </w:p>
    <w:p w14:paraId="2ED6E807" w14:textId="77777777" w:rsidR="00B335DD" w:rsidRPr="0044148C" w:rsidRDefault="00BD3845">
      <w:pPr>
        <w:adjustRightInd/>
        <w:ind w:left="4320" w:hanging="4320"/>
        <w:jc w:val="both"/>
        <w:rPr>
          <w:sz w:val="22"/>
        </w:rPr>
      </w:pPr>
      <w:r>
        <w:rPr>
          <w:b/>
          <w:sz w:val="22"/>
        </w:rPr>
        <w:t>“Closing Date”</w:t>
      </w:r>
      <w:r>
        <w:rPr>
          <w:sz w:val="22"/>
        </w:rPr>
        <w:tab/>
        <w:t>means such date as the Directors may in their absolute discretion determine in respect of the Initial Offer Period for a Share Class;</w:t>
      </w:r>
    </w:p>
    <w:p w14:paraId="05902B04" w14:textId="77777777" w:rsidR="00B335DD" w:rsidRPr="0044148C" w:rsidRDefault="00B335DD">
      <w:pPr>
        <w:adjustRightInd/>
        <w:ind w:left="4320" w:hanging="4320"/>
        <w:jc w:val="both"/>
        <w:rPr>
          <w:sz w:val="22"/>
        </w:rPr>
      </w:pPr>
    </w:p>
    <w:p w14:paraId="06CEDD19" w14:textId="77777777" w:rsidR="00B335DD" w:rsidRPr="0044148C" w:rsidRDefault="00BD3845">
      <w:pPr>
        <w:adjustRightInd/>
        <w:ind w:left="4320" w:hanging="4320"/>
        <w:jc w:val="both"/>
        <w:rPr>
          <w:sz w:val="22"/>
        </w:rPr>
      </w:pPr>
      <w:r>
        <w:rPr>
          <w:b/>
          <w:sz w:val="22"/>
        </w:rPr>
        <w:t>“Dealing Day”</w:t>
      </w:r>
      <w:r>
        <w:rPr>
          <w:b/>
          <w:sz w:val="22"/>
        </w:rPr>
        <w:tab/>
      </w:r>
      <w:r>
        <w:rPr>
          <w:sz w:val="22"/>
        </w:rPr>
        <w:t xml:space="preserve">means every Business Day or such other Business Day(s) as the Directors may determine and notify to Shareholders in advance provided that there shall be at least one dealing day per fortnight; </w:t>
      </w:r>
    </w:p>
    <w:p w14:paraId="4904B4BD" w14:textId="77777777" w:rsidR="00B335DD" w:rsidRPr="0044148C" w:rsidRDefault="00B335DD" w:rsidP="009A3977">
      <w:pPr>
        <w:shd w:val="clear" w:color="auto" w:fill="FFFFFF"/>
        <w:adjustRightInd/>
        <w:jc w:val="both"/>
        <w:rPr>
          <w:b/>
          <w:sz w:val="22"/>
          <w:shd w:val="clear" w:color="auto" w:fill="FFFFFF"/>
        </w:rPr>
      </w:pPr>
    </w:p>
    <w:p w14:paraId="54969A64" w14:textId="77777777" w:rsidR="009A3977" w:rsidRPr="0044148C" w:rsidRDefault="009A3977" w:rsidP="009A3977">
      <w:pPr>
        <w:adjustRightInd/>
        <w:ind w:left="4320" w:hanging="4320"/>
        <w:jc w:val="both"/>
        <w:rPr>
          <w:sz w:val="22"/>
          <w:szCs w:val="22"/>
        </w:rPr>
      </w:pPr>
      <w:r>
        <w:rPr>
          <w:b/>
          <w:sz w:val="22"/>
          <w:szCs w:val="22"/>
          <w:shd w:val="clear" w:color="auto" w:fill="FFFFFF"/>
        </w:rPr>
        <w:t>“</w:t>
      </w:r>
      <w:r>
        <w:rPr>
          <w:b/>
          <w:sz w:val="22"/>
          <w:szCs w:val="22"/>
          <w:lang w:val="en-IE" w:eastAsia="en-IE"/>
        </w:rPr>
        <w:t>Founders Share Class</w:t>
      </w:r>
      <w:r>
        <w:rPr>
          <w:b/>
          <w:sz w:val="22"/>
          <w:szCs w:val="22"/>
          <w:shd w:val="clear" w:color="auto" w:fill="FFFFFF"/>
        </w:rPr>
        <w:t>”</w:t>
      </w:r>
      <w:r>
        <w:rPr>
          <w:sz w:val="22"/>
          <w:szCs w:val="22"/>
          <w:shd w:val="clear" w:color="auto" w:fill="FFFFFF"/>
        </w:rPr>
        <w:tab/>
        <w:t>has the meaning attributed to it in Appendix I;</w:t>
      </w:r>
    </w:p>
    <w:p w14:paraId="30ADBF1A" w14:textId="77777777" w:rsidR="009A3977" w:rsidRPr="0044148C" w:rsidRDefault="009A3977" w:rsidP="009A3977">
      <w:pPr>
        <w:shd w:val="clear" w:color="auto" w:fill="FFFFFF"/>
        <w:adjustRightInd/>
        <w:jc w:val="both"/>
        <w:rPr>
          <w:b/>
          <w:sz w:val="22"/>
          <w:shd w:val="clear" w:color="auto" w:fill="FFFFFF"/>
        </w:rPr>
      </w:pPr>
    </w:p>
    <w:p w14:paraId="14891AF2" w14:textId="7FC31AA6" w:rsidR="00B335DD" w:rsidRDefault="00BD3845">
      <w:pPr>
        <w:shd w:val="clear" w:color="auto" w:fill="FFFFFF"/>
        <w:adjustRightInd/>
        <w:ind w:left="4320" w:hanging="4320"/>
        <w:jc w:val="both"/>
        <w:rPr>
          <w:sz w:val="22"/>
          <w:shd w:val="clear" w:color="auto" w:fill="FFFFFF"/>
        </w:rPr>
      </w:pPr>
      <w:r>
        <w:rPr>
          <w:b/>
          <w:sz w:val="22"/>
          <w:shd w:val="clear" w:color="auto" w:fill="FFFFFF"/>
        </w:rPr>
        <w:t>“Fund”</w:t>
      </w:r>
      <w:r>
        <w:rPr>
          <w:sz w:val="22"/>
          <w:shd w:val="clear" w:color="auto" w:fill="FFFFFF"/>
        </w:rPr>
        <w:tab/>
        <w:t>means Goehring &amp; Rozencwajg Resources Fund;</w:t>
      </w:r>
    </w:p>
    <w:p w14:paraId="7AE23F52" w14:textId="3EC7A9AD" w:rsidR="00A65EE0" w:rsidRDefault="00A65EE0">
      <w:pPr>
        <w:shd w:val="clear" w:color="auto" w:fill="FFFFFF"/>
        <w:adjustRightInd/>
        <w:ind w:left="4320" w:hanging="4320"/>
        <w:jc w:val="both"/>
        <w:rPr>
          <w:sz w:val="22"/>
          <w:shd w:val="clear" w:color="auto" w:fill="FFFFFF"/>
        </w:rPr>
      </w:pPr>
    </w:p>
    <w:p w14:paraId="0CC526D2" w14:textId="52397729" w:rsidR="00A65EE0" w:rsidRPr="0044148C" w:rsidRDefault="00A65EE0">
      <w:pPr>
        <w:shd w:val="clear" w:color="auto" w:fill="FFFFFF"/>
        <w:adjustRightInd/>
        <w:ind w:left="4320" w:hanging="4320"/>
        <w:jc w:val="both"/>
        <w:rPr>
          <w:sz w:val="22"/>
          <w:shd w:val="clear" w:color="auto" w:fill="FFFFFF"/>
        </w:rPr>
      </w:pPr>
      <w:r>
        <w:rPr>
          <w:sz w:val="22"/>
          <w:shd w:val="clear" w:color="auto" w:fill="FFFFFF"/>
        </w:rPr>
        <w:t>“</w:t>
      </w:r>
      <w:r w:rsidRPr="005473BC">
        <w:rPr>
          <w:b/>
          <w:bCs/>
          <w:sz w:val="22"/>
          <w:shd w:val="clear" w:color="auto" w:fill="FFFFFF"/>
        </w:rPr>
        <w:t>GBP</w:t>
      </w:r>
      <w:r>
        <w:rPr>
          <w:sz w:val="22"/>
          <w:shd w:val="clear" w:color="auto" w:fill="FFFFFF"/>
        </w:rPr>
        <w:t>”</w:t>
      </w:r>
      <w:r>
        <w:rPr>
          <w:sz w:val="22"/>
          <w:shd w:val="clear" w:color="auto" w:fill="FFFFFF"/>
        </w:rPr>
        <w:tab/>
        <w:t xml:space="preserve">means </w:t>
      </w:r>
      <w:r w:rsidRPr="00A65EE0">
        <w:rPr>
          <w:sz w:val="22"/>
          <w:shd w:val="clear" w:color="auto" w:fill="FFFFFF"/>
        </w:rPr>
        <w:t>pound sterling, the lawful currency of the United Kingdom</w:t>
      </w:r>
      <w:r>
        <w:rPr>
          <w:sz w:val="22"/>
          <w:shd w:val="clear" w:color="auto" w:fill="FFFFFF"/>
        </w:rPr>
        <w:t>;</w:t>
      </w:r>
    </w:p>
    <w:p w14:paraId="6ADB68DD" w14:textId="77777777" w:rsidR="00B335DD" w:rsidRPr="0044148C" w:rsidRDefault="00B335DD">
      <w:pPr>
        <w:shd w:val="clear" w:color="auto" w:fill="FFFFFF"/>
        <w:adjustRightInd/>
        <w:ind w:left="4320" w:hanging="4320"/>
        <w:jc w:val="both"/>
        <w:rPr>
          <w:sz w:val="22"/>
          <w:shd w:val="clear" w:color="auto" w:fill="FFFFFF"/>
        </w:rPr>
      </w:pPr>
    </w:p>
    <w:p w14:paraId="7E52D3E7" w14:textId="77777777" w:rsidR="00B335DD" w:rsidRPr="0044148C" w:rsidRDefault="00BD3845">
      <w:pPr>
        <w:shd w:val="clear" w:color="auto" w:fill="FFFFFF"/>
        <w:adjustRightInd/>
        <w:ind w:left="4320" w:hanging="4320"/>
        <w:jc w:val="both"/>
        <w:rPr>
          <w:sz w:val="22"/>
          <w:shd w:val="clear" w:color="auto" w:fill="FFFFFF"/>
        </w:rPr>
      </w:pPr>
      <w:r>
        <w:rPr>
          <w:sz w:val="22"/>
          <w:shd w:val="clear" w:color="auto" w:fill="FFFFFF"/>
        </w:rPr>
        <w:t>“</w:t>
      </w:r>
      <w:r>
        <w:rPr>
          <w:b/>
          <w:sz w:val="22"/>
          <w:shd w:val="clear" w:color="auto" w:fill="FFFFFF"/>
        </w:rPr>
        <w:t>Investment Management Agreement</w:t>
      </w:r>
      <w:r>
        <w:rPr>
          <w:sz w:val="22"/>
          <w:shd w:val="clear" w:color="auto" w:fill="FFFFFF"/>
        </w:rPr>
        <w:t>”</w:t>
      </w:r>
      <w:r>
        <w:rPr>
          <w:sz w:val="22"/>
          <w:shd w:val="clear" w:color="auto" w:fill="FFFFFF"/>
        </w:rPr>
        <w:tab/>
        <w:t>means the agreement between the Manager, the Investment Manager and the ICAV pursuant to which the Investment Manager was appointed investment manager of the Fund;</w:t>
      </w:r>
    </w:p>
    <w:p w14:paraId="4A983B3B" w14:textId="77777777" w:rsidR="00B335DD" w:rsidRPr="0044148C" w:rsidRDefault="00B335DD">
      <w:pPr>
        <w:shd w:val="clear" w:color="auto" w:fill="FFFFFF"/>
        <w:adjustRightInd/>
        <w:ind w:left="4320" w:hanging="4320"/>
        <w:jc w:val="both"/>
        <w:rPr>
          <w:sz w:val="22"/>
          <w:shd w:val="clear" w:color="auto" w:fill="FFFFFF"/>
        </w:rPr>
      </w:pPr>
    </w:p>
    <w:p w14:paraId="4D251914" w14:textId="77777777" w:rsidR="00B335DD" w:rsidRPr="0044148C" w:rsidRDefault="00BD3845">
      <w:pPr>
        <w:shd w:val="clear" w:color="auto" w:fill="FFFFFF"/>
        <w:adjustRightInd/>
        <w:ind w:left="4320" w:hanging="4320"/>
        <w:jc w:val="both"/>
        <w:rPr>
          <w:sz w:val="22"/>
          <w:shd w:val="clear" w:color="auto" w:fill="FFFFFF"/>
        </w:rPr>
      </w:pPr>
      <w:r>
        <w:rPr>
          <w:sz w:val="22"/>
          <w:shd w:val="clear" w:color="auto" w:fill="FFFFFF"/>
        </w:rPr>
        <w:t>“</w:t>
      </w:r>
      <w:r>
        <w:rPr>
          <w:b/>
          <w:sz w:val="22"/>
          <w:shd w:val="clear" w:color="auto" w:fill="FFFFFF"/>
        </w:rPr>
        <w:t>Investment Manager</w:t>
      </w:r>
      <w:r>
        <w:rPr>
          <w:sz w:val="22"/>
          <w:shd w:val="clear" w:color="auto" w:fill="FFFFFF"/>
        </w:rPr>
        <w:t>”</w:t>
      </w:r>
      <w:r>
        <w:rPr>
          <w:sz w:val="22"/>
          <w:shd w:val="clear" w:color="auto" w:fill="FFFFFF"/>
        </w:rPr>
        <w:tab/>
        <w:t>means Goehring &amp; Rozencwajg Associates, LLC;</w:t>
      </w:r>
    </w:p>
    <w:p w14:paraId="233FFB85" w14:textId="77777777" w:rsidR="00B335DD" w:rsidRPr="0044148C" w:rsidRDefault="00B335DD" w:rsidP="009A3977">
      <w:pPr>
        <w:adjustRightInd/>
        <w:jc w:val="both"/>
        <w:rPr>
          <w:sz w:val="22"/>
          <w:lang w:eastAsia="en-IE"/>
        </w:rPr>
      </w:pPr>
    </w:p>
    <w:p w14:paraId="68A0DC54" w14:textId="77777777" w:rsidR="00B335DD" w:rsidRPr="0044148C" w:rsidRDefault="00BD3845">
      <w:pPr>
        <w:adjustRightInd/>
        <w:ind w:left="4320" w:hanging="4320"/>
        <w:jc w:val="both"/>
        <w:rPr>
          <w:sz w:val="22"/>
          <w:lang w:eastAsia="en-IE"/>
        </w:rPr>
      </w:pPr>
      <w:r>
        <w:rPr>
          <w:b/>
          <w:sz w:val="22"/>
          <w:lang w:eastAsia="en-IE"/>
        </w:rPr>
        <w:t>“Supplement”</w:t>
      </w:r>
      <w:r>
        <w:rPr>
          <w:sz w:val="22"/>
          <w:lang w:eastAsia="en-IE"/>
        </w:rPr>
        <w:tab/>
        <w:t>means this supplement;</w:t>
      </w:r>
    </w:p>
    <w:p w14:paraId="7E317980" w14:textId="77777777" w:rsidR="00B335DD" w:rsidRPr="0044148C" w:rsidRDefault="00B335DD">
      <w:pPr>
        <w:adjustRightInd/>
        <w:ind w:left="4320" w:hanging="4320"/>
        <w:jc w:val="both"/>
        <w:rPr>
          <w:sz w:val="22"/>
          <w:lang w:eastAsia="en-IE"/>
        </w:rPr>
      </w:pPr>
    </w:p>
    <w:p w14:paraId="4B0F0E6C" w14:textId="77777777" w:rsidR="00B335DD" w:rsidRPr="0044148C" w:rsidRDefault="00BD3845">
      <w:pPr>
        <w:adjustRightInd/>
        <w:ind w:left="4320" w:hanging="4320"/>
        <w:jc w:val="both"/>
        <w:rPr>
          <w:sz w:val="22"/>
          <w:lang w:eastAsia="en-IE"/>
        </w:rPr>
      </w:pPr>
      <w:r>
        <w:rPr>
          <w:b/>
          <w:sz w:val="22"/>
          <w:lang w:eastAsia="en-IE"/>
        </w:rPr>
        <w:t>“Trade Cut-Off Time”</w:t>
      </w:r>
      <w:r>
        <w:rPr>
          <w:b/>
          <w:sz w:val="22"/>
          <w:lang w:eastAsia="en-IE"/>
        </w:rPr>
        <w:tab/>
      </w:r>
      <w:r>
        <w:rPr>
          <w:sz w:val="22"/>
          <w:lang w:eastAsia="en-IE"/>
        </w:rPr>
        <w:t>means the deadline for receipt of subscription and redemption requests being no later than 12 p.m. (Irish time) one Business Day prior to the relevant Dealing Day as set out in the sections headed “Subscriptions and Subscription Price” and “Redemptions and Redemption Price” respectively;</w:t>
      </w:r>
    </w:p>
    <w:p w14:paraId="1BA926DE" w14:textId="77777777" w:rsidR="00B335DD" w:rsidRPr="0044148C" w:rsidRDefault="00B335DD">
      <w:pPr>
        <w:adjustRightInd/>
        <w:ind w:left="4320" w:hanging="4320"/>
        <w:jc w:val="both"/>
        <w:rPr>
          <w:sz w:val="22"/>
          <w:lang w:eastAsia="en-IE"/>
        </w:rPr>
      </w:pPr>
    </w:p>
    <w:p w14:paraId="4344E020" w14:textId="77777777" w:rsidR="00B335DD" w:rsidRPr="0044148C" w:rsidRDefault="00BD3845">
      <w:pPr>
        <w:adjustRightInd/>
        <w:rPr>
          <w:sz w:val="22"/>
          <w:lang w:eastAsia="en-IE"/>
        </w:rPr>
      </w:pPr>
      <w:r>
        <w:rPr>
          <w:sz w:val="22"/>
          <w:lang w:eastAsia="en-IE"/>
        </w:rPr>
        <w:t>“</w:t>
      </w:r>
      <w:r>
        <w:rPr>
          <w:b/>
          <w:sz w:val="22"/>
          <w:lang w:eastAsia="en-IE"/>
        </w:rPr>
        <w:t>U.S.</w:t>
      </w:r>
      <w:r>
        <w:rPr>
          <w:sz w:val="22"/>
          <w:lang w:eastAsia="en-IE"/>
        </w:rPr>
        <w:t xml:space="preserve"> </w:t>
      </w:r>
      <w:r>
        <w:rPr>
          <w:b/>
          <w:sz w:val="22"/>
          <w:lang w:eastAsia="en-IE"/>
        </w:rPr>
        <w:t>Dollar</w:t>
      </w:r>
      <w:r>
        <w:rPr>
          <w:sz w:val="22"/>
          <w:lang w:eastAsia="en-IE"/>
        </w:rPr>
        <w:t>” or “</w:t>
      </w:r>
      <w:r>
        <w:rPr>
          <w:b/>
          <w:sz w:val="22"/>
          <w:lang w:eastAsia="en-IE"/>
        </w:rPr>
        <w:t>USD</w:t>
      </w:r>
      <w:r>
        <w:rPr>
          <w:sz w:val="22"/>
          <w:lang w:eastAsia="en-IE"/>
        </w:rPr>
        <w:t>”</w:t>
      </w:r>
      <w:r>
        <w:rPr>
          <w:sz w:val="22"/>
          <w:lang w:eastAsia="en-IE"/>
        </w:rPr>
        <w:tab/>
      </w:r>
      <w:r>
        <w:rPr>
          <w:sz w:val="22"/>
          <w:lang w:eastAsia="en-IE"/>
        </w:rPr>
        <w:tab/>
      </w:r>
      <w:r>
        <w:rPr>
          <w:sz w:val="22"/>
          <w:lang w:eastAsia="en-IE"/>
        </w:rPr>
        <w:tab/>
        <w:t>means the lawful currency of the U.S.; and</w:t>
      </w:r>
    </w:p>
    <w:p w14:paraId="4456FE6C" w14:textId="77777777" w:rsidR="00B335DD" w:rsidRPr="0044148C" w:rsidRDefault="00B335DD">
      <w:pPr>
        <w:adjustRightInd/>
        <w:rPr>
          <w:sz w:val="22"/>
          <w:lang w:eastAsia="en-IE"/>
        </w:rPr>
      </w:pPr>
    </w:p>
    <w:p w14:paraId="586B440F" w14:textId="77777777" w:rsidR="00B335DD" w:rsidRPr="0044148C" w:rsidRDefault="00BD3845">
      <w:pPr>
        <w:keepNext/>
        <w:adjustRightInd/>
        <w:ind w:left="4321" w:hanging="4321"/>
        <w:jc w:val="both"/>
        <w:rPr>
          <w:sz w:val="22"/>
          <w:lang w:eastAsia="en-IE"/>
        </w:rPr>
      </w:pPr>
      <w:r>
        <w:rPr>
          <w:b/>
          <w:sz w:val="22"/>
          <w:lang w:eastAsia="en-IE"/>
        </w:rPr>
        <w:t>“Valuation Point”</w:t>
      </w:r>
      <w:r>
        <w:rPr>
          <w:sz w:val="22"/>
          <w:lang w:eastAsia="en-IE"/>
        </w:rPr>
        <w:tab/>
        <w:t xml:space="preserve">means 4.00 p.m. (U.S. Eastern Time) on each Dealing Day at which the Net Asset Value of the Fund is calculated. For the avoidance of doubt, the Valuation Point for a particular </w:t>
      </w:r>
      <w:r>
        <w:rPr>
          <w:sz w:val="22"/>
          <w:lang w:eastAsia="en-IE"/>
        </w:rPr>
        <w:lastRenderedPageBreak/>
        <w:t>Dealing Day shall not be before the Trade Cut-Off Time relevant to such Dealing Day.</w:t>
      </w:r>
    </w:p>
    <w:p w14:paraId="261ED096" w14:textId="77777777" w:rsidR="00B335DD" w:rsidRPr="0044148C" w:rsidRDefault="00B335DD">
      <w:pPr>
        <w:adjustRightInd/>
        <w:rPr>
          <w:sz w:val="22"/>
          <w:highlight w:val="yellow"/>
          <w:lang w:eastAsia="en-IE"/>
        </w:rPr>
      </w:pPr>
    </w:p>
    <w:p w14:paraId="0734DBDE" w14:textId="77777777" w:rsidR="00B335DD" w:rsidRPr="0044148C" w:rsidRDefault="00B335DD">
      <w:pPr>
        <w:adjustRightInd/>
        <w:rPr>
          <w:sz w:val="22"/>
          <w:highlight w:val="yellow"/>
          <w:lang w:eastAsia="en-IE"/>
        </w:rPr>
        <w:sectPr w:rsidR="00B335DD" w:rsidRPr="0044148C" w:rsidSect="00AE6B78">
          <w:headerReference w:type="default" r:id="rId21"/>
          <w:footerReference w:type="default" r:id="rId22"/>
          <w:headerReference w:type="first" r:id="rId23"/>
          <w:footerReference w:type="first" r:id="rId24"/>
          <w:pgSz w:w="11908" w:h="16833"/>
          <w:pgMar w:top="1440" w:right="1800" w:bottom="1440" w:left="1800" w:header="720" w:footer="720" w:gutter="0"/>
          <w:cols w:space="720"/>
          <w:noEndnote/>
          <w:titlePg/>
        </w:sectPr>
      </w:pPr>
    </w:p>
    <w:p w14:paraId="11E3912B" w14:textId="77777777" w:rsidR="00B335DD" w:rsidRPr="0044148C" w:rsidRDefault="00BD3845">
      <w:pPr>
        <w:pStyle w:val="Heading1"/>
        <w:adjustRightInd/>
        <w:spacing w:before="0"/>
        <w:rPr>
          <w:rFonts w:ascii="Times New Roman" w:hAnsi="Times New Roman" w:cs="Times New Roman"/>
          <w:b/>
          <w:color w:val="auto"/>
          <w:sz w:val="22"/>
          <w:szCs w:val="24"/>
        </w:rPr>
      </w:pPr>
      <w:r>
        <w:rPr>
          <w:rFonts w:ascii="Times New Roman" w:eastAsia="MS Gothic" w:hAnsi="Times New Roman" w:cs="Times New Roman"/>
          <w:b/>
          <w:color w:val="auto"/>
          <w:sz w:val="22"/>
          <w:szCs w:val="24"/>
        </w:rPr>
        <w:lastRenderedPageBreak/>
        <w:t>INTRODUCTION</w:t>
      </w:r>
    </w:p>
    <w:p w14:paraId="6244D6F7" w14:textId="77777777" w:rsidR="00B335DD" w:rsidRPr="0044148C" w:rsidRDefault="00B335DD">
      <w:pPr>
        <w:adjustRightInd/>
        <w:jc w:val="both"/>
        <w:rPr>
          <w:sz w:val="22"/>
        </w:rPr>
      </w:pPr>
    </w:p>
    <w:p w14:paraId="05F7B25A" w14:textId="77777777" w:rsidR="00B335DD" w:rsidRPr="00032705" w:rsidRDefault="00BD3845">
      <w:pPr>
        <w:adjustRightInd/>
        <w:jc w:val="both"/>
        <w:rPr>
          <w:sz w:val="22"/>
          <w:szCs w:val="22"/>
        </w:rPr>
      </w:pPr>
      <w:r w:rsidRPr="00032705">
        <w:rPr>
          <w:sz w:val="22"/>
          <w:szCs w:val="22"/>
        </w:rPr>
        <w:t xml:space="preserve">The ICAV is authorised in Ireland by the Central Bank as a UCITS for the purposes of the UCITS Regulations.  </w:t>
      </w:r>
    </w:p>
    <w:p w14:paraId="0A81DA66" w14:textId="77777777" w:rsidR="00B335DD" w:rsidRPr="00032705" w:rsidRDefault="00B335DD">
      <w:pPr>
        <w:adjustRightInd/>
        <w:jc w:val="both"/>
        <w:rPr>
          <w:sz w:val="22"/>
          <w:szCs w:val="22"/>
        </w:rPr>
      </w:pPr>
    </w:p>
    <w:p w14:paraId="32A43B45" w14:textId="77777777" w:rsidR="00B335DD" w:rsidRPr="00032705" w:rsidRDefault="00BD3845">
      <w:pPr>
        <w:adjustRightInd/>
        <w:jc w:val="both"/>
        <w:rPr>
          <w:sz w:val="22"/>
          <w:szCs w:val="22"/>
        </w:rPr>
      </w:pPr>
      <w:r w:rsidRPr="00032705">
        <w:rPr>
          <w:sz w:val="22"/>
          <w:szCs w:val="22"/>
        </w:rPr>
        <w:t xml:space="preserve">This Supplement forms part of the Prospectus and should be read in conjunction with the general description of the ICAV contained in the Prospectus together with the most recent annual and semi-annual reports.  </w:t>
      </w:r>
    </w:p>
    <w:p w14:paraId="61829317" w14:textId="77777777" w:rsidR="00B335DD" w:rsidRPr="00032705" w:rsidRDefault="00B335DD">
      <w:pPr>
        <w:adjustRightInd/>
        <w:jc w:val="both"/>
        <w:rPr>
          <w:sz w:val="22"/>
          <w:szCs w:val="22"/>
        </w:rPr>
      </w:pPr>
    </w:p>
    <w:p w14:paraId="6951CF11" w14:textId="77777777" w:rsidR="00B335DD" w:rsidRPr="00032705" w:rsidRDefault="00BD3845">
      <w:pPr>
        <w:adjustRightInd/>
        <w:jc w:val="both"/>
        <w:rPr>
          <w:sz w:val="22"/>
          <w:szCs w:val="22"/>
        </w:rPr>
      </w:pPr>
      <w:r w:rsidRPr="00032705">
        <w:rPr>
          <w:sz w:val="22"/>
          <w:szCs w:val="22"/>
        </w:rPr>
        <w:t xml:space="preserve">Details of the available classes of Shares in the Fund are set out in Appendix 1 to this Supplement.  </w:t>
      </w:r>
    </w:p>
    <w:p w14:paraId="0281A6BB" w14:textId="77777777" w:rsidR="00B335DD" w:rsidRPr="00032705" w:rsidRDefault="00B335DD">
      <w:pPr>
        <w:adjustRightInd/>
        <w:jc w:val="both"/>
        <w:rPr>
          <w:sz w:val="22"/>
          <w:szCs w:val="22"/>
        </w:rPr>
      </w:pPr>
    </w:p>
    <w:p w14:paraId="42E60875" w14:textId="77777777" w:rsidR="00B335DD" w:rsidRPr="00032705" w:rsidRDefault="00BD3845">
      <w:pPr>
        <w:adjustRightInd/>
        <w:jc w:val="both"/>
        <w:rPr>
          <w:sz w:val="22"/>
          <w:szCs w:val="22"/>
        </w:rPr>
      </w:pPr>
      <w:r w:rsidRPr="00032705">
        <w:rPr>
          <w:sz w:val="22"/>
          <w:szCs w:val="22"/>
        </w:rPr>
        <w:t xml:space="preserve">As at the date of this Supplement, there are no other Share Classes in the Fund, apart from those listed in Appendix 1, but additional Share Classes may be added in the future in accordance with the UCITS Requirements. </w:t>
      </w:r>
    </w:p>
    <w:p w14:paraId="0DDF5703" w14:textId="77777777" w:rsidR="00B335DD" w:rsidRPr="00032705" w:rsidRDefault="00B335DD">
      <w:pPr>
        <w:adjustRightInd/>
        <w:jc w:val="both"/>
        <w:rPr>
          <w:sz w:val="22"/>
          <w:szCs w:val="22"/>
        </w:rPr>
      </w:pPr>
    </w:p>
    <w:p w14:paraId="6321116E" w14:textId="0138CF64" w:rsidR="00D47069" w:rsidRDefault="00BD3845" w:rsidP="00D47069">
      <w:pPr>
        <w:tabs>
          <w:tab w:val="left" w:pos="0"/>
        </w:tabs>
        <w:autoSpaceDE w:val="0"/>
        <w:autoSpaceDN w:val="0"/>
        <w:jc w:val="both"/>
        <w:rPr>
          <w:sz w:val="22"/>
          <w:szCs w:val="22"/>
        </w:rPr>
      </w:pPr>
      <w:r w:rsidRPr="00032705">
        <w:rPr>
          <w:sz w:val="22"/>
          <w:szCs w:val="22"/>
        </w:rPr>
        <w:t xml:space="preserve">The Base Currency of the Fund is U.S. Dollar.  </w:t>
      </w:r>
      <w:bookmarkStart w:id="1" w:name="_cp_text_2_1"/>
      <w:bookmarkEnd w:id="1"/>
    </w:p>
    <w:p w14:paraId="7B78CF52" w14:textId="77777777" w:rsidR="00D47069" w:rsidRPr="00032705" w:rsidRDefault="00D47069" w:rsidP="00D47069">
      <w:pPr>
        <w:tabs>
          <w:tab w:val="left" w:pos="0"/>
        </w:tabs>
        <w:autoSpaceDE w:val="0"/>
        <w:autoSpaceDN w:val="0"/>
        <w:jc w:val="both"/>
        <w:rPr>
          <w:b/>
          <w:sz w:val="22"/>
          <w:szCs w:val="22"/>
        </w:rPr>
      </w:pPr>
    </w:p>
    <w:p w14:paraId="06A6A26C" w14:textId="77777777" w:rsidR="00D47069" w:rsidRPr="00032705" w:rsidRDefault="00D47069" w:rsidP="00D47069">
      <w:pPr>
        <w:tabs>
          <w:tab w:val="left" w:pos="0"/>
        </w:tabs>
        <w:autoSpaceDE w:val="0"/>
        <w:autoSpaceDN w:val="0"/>
        <w:jc w:val="both"/>
        <w:rPr>
          <w:b/>
          <w:sz w:val="22"/>
          <w:szCs w:val="22"/>
        </w:rPr>
      </w:pPr>
      <w:r w:rsidRPr="00032705">
        <w:rPr>
          <w:b/>
          <w:sz w:val="22"/>
          <w:szCs w:val="22"/>
        </w:rPr>
        <w:t>An investment in the Fund should not constitute a substantial proportion of an investment portfolio and may not be appropriate for all investors.</w:t>
      </w:r>
    </w:p>
    <w:p w14:paraId="139F43CA" w14:textId="77777777" w:rsidR="00B335DD" w:rsidRPr="00032705" w:rsidRDefault="00B335DD">
      <w:pPr>
        <w:adjustRightInd/>
        <w:jc w:val="both"/>
        <w:rPr>
          <w:sz w:val="22"/>
          <w:szCs w:val="22"/>
          <w:highlight w:val="yellow"/>
        </w:rPr>
      </w:pPr>
    </w:p>
    <w:p w14:paraId="5FF85E05" w14:textId="77777777" w:rsidR="00B335DD" w:rsidRPr="00032705" w:rsidRDefault="00BD3845">
      <w:pPr>
        <w:pStyle w:val="Heading1"/>
        <w:keepNext w:val="0"/>
        <w:keepLines w:val="0"/>
        <w:adjustRightInd/>
        <w:spacing w:before="0"/>
        <w:rPr>
          <w:rFonts w:ascii="Times New Roman" w:hAnsi="Times New Roman" w:cs="Times New Roman"/>
          <w:b/>
          <w:color w:val="auto"/>
          <w:sz w:val="22"/>
          <w:szCs w:val="22"/>
        </w:rPr>
      </w:pPr>
      <w:r w:rsidRPr="00032705">
        <w:rPr>
          <w:rFonts w:ascii="Times New Roman" w:eastAsia="MS Gothic" w:hAnsi="Times New Roman" w:cs="Times New Roman"/>
          <w:b/>
          <w:color w:val="auto"/>
          <w:sz w:val="22"/>
          <w:szCs w:val="22"/>
        </w:rPr>
        <w:t>INVESTMENT OBJECTIVE AND POLICY</w:t>
      </w:r>
    </w:p>
    <w:p w14:paraId="563BC426" w14:textId="77777777" w:rsidR="00B335DD" w:rsidRPr="00032705" w:rsidRDefault="00B335DD">
      <w:pPr>
        <w:adjustRightInd/>
        <w:jc w:val="both"/>
        <w:rPr>
          <w:sz w:val="22"/>
          <w:szCs w:val="22"/>
          <w:highlight w:val="yellow"/>
        </w:rPr>
      </w:pPr>
    </w:p>
    <w:p w14:paraId="4DE0D9F1" w14:textId="77777777" w:rsidR="00B335DD" w:rsidRPr="00032705" w:rsidRDefault="00BD3845">
      <w:pPr>
        <w:pStyle w:val="Heading6"/>
        <w:keepNext w:val="0"/>
        <w:widowControl w:val="0"/>
        <w:rPr>
          <w:bCs w:val="0"/>
          <w:sz w:val="22"/>
          <w:szCs w:val="22"/>
        </w:rPr>
      </w:pPr>
      <w:r w:rsidRPr="00032705">
        <w:rPr>
          <w:bCs w:val="0"/>
          <w:sz w:val="22"/>
          <w:szCs w:val="22"/>
        </w:rPr>
        <w:t xml:space="preserve">Investment Objective </w:t>
      </w:r>
    </w:p>
    <w:p w14:paraId="4615E138" w14:textId="77777777" w:rsidR="00B335DD" w:rsidRPr="00032705" w:rsidRDefault="00B335DD">
      <w:pPr>
        <w:pStyle w:val="Heading6"/>
        <w:keepNext w:val="0"/>
        <w:widowControl w:val="0"/>
        <w:rPr>
          <w:bCs w:val="0"/>
          <w:sz w:val="22"/>
          <w:szCs w:val="22"/>
        </w:rPr>
      </w:pPr>
    </w:p>
    <w:p w14:paraId="506E060C" w14:textId="77777777" w:rsidR="00B335DD" w:rsidRPr="00032705" w:rsidRDefault="00BD3845">
      <w:pPr>
        <w:pStyle w:val="Heading6"/>
        <w:keepNext w:val="0"/>
        <w:widowControl w:val="0"/>
        <w:rPr>
          <w:b w:val="0"/>
          <w:bCs w:val="0"/>
          <w:sz w:val="22"/>
          <w:szCs w:val="22"/>
        </w:rPr>
      </w:pPr>
      <w:r w:rsidRPr="00032705">
        <w:rPr>
          <w:b w:val="0"/>
          <w:bCs w:val="0"/>
          <w:sz w:val="22"/>
          <w:szCs w:val="22"/>
        </w:rPr>
        <w:t>The investment objective of the Fund is to maximise total returns.</w:t>
      </w:r>
    </w:p>
    <w:p w14:paraId="27EAD8FF" w14:textId="77777777" w:rsidR="00B335DD" w:rsidRPr="00032705" w:rsidRDefault="00BD3845">
      <w:pPr>
        <w:pStyle w:val="Heading6"/>
        <w:keepNext w:val="0"/>
        <w:widowControl w:val="0"/>
        <w:rPr>
          <w:bCs w:val="0"/>
          <w:sz w:val="22"/>
          <w:szCs w:val="22"/>
        </w:rPr>
      </w:pPr>
      <w:r w:rsidRPr="00032705">
        <w:rPr>
          <w:bCs w:val="0"/>
          <w:sz w:val="22"/>
          <w:szCs w:val="22"/>
        </w:rPr>
        <w:t xml:space="preserve"> </w:t>
      </w:r>
    </w:p>
    <w:p w14:paraId="779371EB" w14:textId="77777777" w:rsidR="00B335DD" w:rsidRPr="00032705" w:rsidRDefault="00BD3845">
      <w:pPr>
        <w:pStyle w:val="Heading6"/>
        <w:keepNext w:val="0"/>
        <w:widowControl w:val="0"/>
        <w:rPr>
          <w:bCs w:val="0"/>
          <w:sz w:val="22"/>
          <w:szCs w:val="22"/>
        </w:rPr>
      </w:pPr>
      <w:r w:rsidRPr="00032705">
        <w:rPr>
          <w:bCs w:val="0"/>
          <w:sz w:val="22"/>
          <w:szCs w:val="22"/>
        </w:rPr>
        <w:t>Investment Policy</w:t>
      </w:r>
    </w:p>
    <w:p w14:paraId="6E8648EB" w14:textId="77777777" w:rsidR="00B335DD" w:rsidRPr="00032705" w:rsidRDefault="00BD3845">
      <w:pPr>
        <w:pStyle w:val="Heading6"/>
        <w:keepNext w:val="0"/>
        <w:widowControl w:val="0"/>
        <w:rPr>
          <w:bCs w:val="0"/>
          <w:sz w:val="22"/>
          <w:szCs w:val="22"/>
        </w:rPr>
      </w:pPr>
      <w:r w:rsidRPr="00032705">
        <w:rPr>
          <w:bCs w:val="0"/>
          <w:sz w:val="22"/>
          <w:szCs w:val="22"/>
        </w:rPr>
        <w:t xml:space="preserve"> </w:t>
      </w:r>
    </w:p>
    <w:p w14:paraId="30A845A6" w14:textId="217B8320" w:rsidR="00B16BD4" w:rsidRPr="00032705" w:rsidRDefault="00BD3845" w:rsidP="00C1667A">
      <w:pPr>
        <w:pStyle w:val="Heading6"/>
        <w:keepNext w:val="0"/>
        <w:widowControl w:val="0"/>
        <w:rPr>
          <w:sz w:val="22"/>
          <w:szCs w:val="22"/>
        </w:rPr>
      </w:pPr>
      <w:r w:rsidRPr="00032705">
        <w:rPr>
          <w:b w:val="0"/>
          <w:bCs w:val="0"/>
          <w:sz w:val="22"/>
          <w:szCs w:val="22"/>
        </w:rPr>
        <w:t>The Fund pursues an actively-managed investment strategy and the Investment Manager will seek to achieve the Fund’s investment objective by primarily investing, at least 80% of the Net Asset Value of the Fund,</w:t>
      </w:r>
      <w:r w:rsidRPr="00032705">
        <w:rPr>
          <w:sz w:val="22"/>
          <w:szCs w:val="22"/>
        </w:rPr>
        <w:t xml:space="preserve"> </w:t>
      </w:r>
      <w:r w:rsidRPr="00032705">
        <w:rPr>
          <w:b w:val="0"/>
          <w:sz w:val="22"/>
          <w:szCs w:val="22"/>
        </w:rPr>
        <w:t>in equity and equity-related securities of natural resources companies and other investments (</w:t>
      </w:r>
      <w:r w:rsidR="005F0DA8" w:rsidRPr="00032705">
        <w:rPr>
          <w:b w:val="0"/>
          <w:sz w:val="22"/>
          <w:szCs w:val="22"/>
        </w:rPr>
        <w:t>specifically,</w:t>
      </w:r>
      <w:r w:rsidR="00022E28" w:rsidRPr="00032705">
        <w:rPr>
          <w:b w:val="0"/>
          <w:sz w:val="22"/>
          <w:szCs w:val="22"/>
        </w:rPr>
        <w:t xml:space="preserve"> exchange traded futures and options </w:t>
      </w:r>
      <w:r w:rsidRPr="00032705">
        <w:rPr>
          <w:b w:val="0"/>
          <w:sz w:val="22"/>
          <w:szCs w:val="22"/>
        </w:rPr>
        <w:t>, registered investment companies and exchange-traded funds (“</w:t>
      </w:r>
      <w:r w:rsidRPr="00032705">
        <w:rPr>
          <w:sz w:val="22"/>
          <w:szCs w:val="22"/>
        </w:rPr>
        <w:t>ETFs</w:t>
      </w:r>
      <w:r w:rsidRPr="00032705">
        <w:rPr>
          <w:b w:val="0"/>
          <w:sz w:val="22"/>
          <w:szCs w:val="22"/>
        </w:rPr>
        <w:t>”) domiciled within the European Union, including ETFs that are exposed to natural resources or commodities) that provide economic exposure to natural resources or natural resources companies as determined by the Investment Manager (together “natural resources investments”). Natural resources companies are global companies that may own, explore, develop, produce, refine, transport, or market natural resources or that provide related equipment, infrastructure, or services. Natural resources include energy resources, such as oil, natural gas, coal and uranium; precious metals, such as gold, silver, platinum, palladium and rhodium; diamond; base metals, such as copper, lead and zinc; ferrous metals; agricultural commodities; and fertiliser commodities, such as potash, phosphate and nitrogen.</w:t>
      </w:r>
      <w:r w:rsidR="00022E28" w:rsidRPr="00032705">
        <w:rPr>
          <w:b w:val="0"/>
          <w:sz w:val="22"/>
          <w:szCs w:val="22"/>
        </w:rPr>
        <w:t xml:space="preserve"> </w:t>
      </w:r>
    </w:p>
    <w:p w14:paraId="4284C8E5" w14:textId="77777777" w:rsidR="00B16BD4" w:rsidRPr="00032705" w:rsidRDefault="00B16BD4" w:rsidP="00B16BD4">
      <w:pPr>
        <w:jc w:val="both"/>
        <w:rPr>
          <w:sz w:val="22"/>
          <w:szCs w:val="22"/>
        </w:rPr>
      </w:pPr>
    </w:p>
    <w:p w14:paraId="7B1BDFFD" w14:textId="1BA8DF4A" w:rsidR="00165BD4" w:rsidRPr="00032705" w:rsidRDefault="00B16BD4" w:rsidP="00B16BD4">
      <w:pPr>
        <w:jc w:val="both"/>
        <w:rPr>
          <w:sz w:val="22"/>
          <w:szCs w:val="22"/>
        </w:rPr>
      </w:pPr>
      <w:r w:rsidRPr="00032705">
        <w:rPr>
          <w:sz w:val="22"/>
          <w:szCs w:val="22"/>
        </w:rPr>
        <w:t xml:space="preserve">The Fund will typically invest primarily in equity and equity-related securities consisting of </w:t>
      </w:r>
      <w:r w:rsidR="00645361">
        <w:rPr>
          <w:sz w:val="22"/>
          <w:szCs w:val="22"/>
        </w:rPr>
        <w:t xml:space="preserve">between </w:t>
      </w:r>
      <w:r w:rsidR="000138E0">
        <w:rPr>
          <w:sz w:val="22"/>
          <w:szCs w:val="22"/>
        </w:rPr>
        <w:t>5</w:t>
      </w:r>
      <w:r w:rsidR="00645361">
        <w:rPr>
          <w:sz w:val="22"/>
          <w:szCs w:val="22"/>
        </w:rPr>
        <w:t>0 and 80</w:t>
      </w:r>
      <w:r w:rsidR="00645361" w:rsidRPr="00032705">
        <w:rPr>
          <w:sz w:val="22"/>
          <w:szCs w:val="22"/>
        </w:rPr>
        <w:t xml:space="preserve"> </w:t>
      </w:r>
      <w:r w:rsidR="00136314">
        <w:rPr>
          <w:sz w:val="22"/>
          <w:szCs w:val="22"/>
        </w:rPr>
        <w:t xml:space="preserve">issuers of </w:t>
      </w:r>
      <w:r w:rsidRPr="00032705">
        <w:rPr>
          <w:sz w:val="22"/>
          <w:szCs w:val="22"/>
        </w:rPr>
        <w:t>common stock, preferred stock, convertible securities</w:t>
      </w:r>
      <w:r w:rsidR="00235B8B" w:rsidRPr="00032705">
        <w:rPr>
          <w:sz w:val="22"/>
          <w:szCs w:val="22"/>
        </w:rPr>
        <w:t xml:space="preserve"> (excluding contingent convertible securities)</w:t>
      </w:r>
      <w:r w:rsidRPr="00032705">
        <w:rPr>
          <w:sz w:val="22"/>
          <w:szCs w:val="22"/>
        </w:rPr>
        <w:t>, rights and warrants and depository receipts (including American depositary receipts and global depositary receipts). The Fund also may participate in initial public offerings (</w:t>
      </w:r>
      <w:r w:rsidRPr="00032705">
        <w:rPr>
          <w:b/>
          <w:sz w:val="22"/>
          <w:szCs w:val="22"/>
        </w:rPr>
        <w:t>“IPOs</w:t>
      </w:r>
      <w:r w:rsidRPr="00032705">
        <w:rPr>
          <w:sz w:val="22"/>
          <w:szCs w:val="22"/>
        </w:rPr>
        <w:t xml:space="preserve">”) of equity and equity-related securities. </w:t>
      </w:r>
    </w:p>
    <w:p w14:paraId="776CF534" w14:textId="77777777" w:rsidR="00165BD4" w:rsidRPr="00032705" w:rsidRDefault="00165BD4" w:rsidP="00B16BD4">
      <w:pPr>
        <w:jc w:val="both"/>
        <w:rPr>
          <w:sz w:val="22"/>
          <w:szCs w:val="22"/>
        </w:rPr>
      </w:pPr>
    </w:p>
    <w:p w14:paraId="2A07B551" w14:textId="2096C871" w:rsidR="00B16BD4" w:rsidRPr="00032705" w:rsidRDefault="00B16BD4" w:rsidP="00B16BD4">
      <w:pPr>
        <w:jc w:val="both"/>
        <w:rPr>
          <w:sz w:val="22"/>
          <w:szCs w:val="22"/>
        </w:rPr>
      </w:pPr>
      <w:r w:rsidRPr="00032705">
        <w:rPr>
          <w:sz w:val="22"/>
          <w:szCs w:val="22"/>
        </w:rPr>
        <w:t xml:space="preserve">In addition, the Fund may invest up to 20% of the Net Asset Value of the Fund in debt securities of natural resources companies. Debt securities issued by natural resources companies may be considered opportunistically by the Investment Manager, potentially as an alternative to equity and equity-related securities of the relevant natural resources company, in circumstances where such debt securities may be determined by the Investment Manager to be mispriced relative to their intrinsic value. These debt-securities </w:t>
      </w:r>
      <w:r w:rsidR="00022E28" w:rsidRPr="00032705">
        <w:rPr>
          <w:sz w:val="22"/>
          <w:szCs w:val="22"/>
        </w:rPr>
        <w:t xml:space="preserve">shall be </w:t>
      </w:r>
      <w:r w:rsidRPr="00032705">
        <w:rPr>
          <w:sz w:val="22"/>
          <w:szCs w:val="22"/>
        </w:rPr>
        <w:t xml:space="preserve">“investment-grade” </w:t>
      </w:r>
      <w:r w:rsidR="00022E28" w:rsidRPr="00032705">
        <w:rPr>
          <w:sz w:val="22"/>
          <w:szCs w:val="22"/>
        </w:rPr>
        <w:t>corporate bonds</w:t>
      </w:r>
      <w:r w:rsidRPr="00032705">
        <w:rPr>
          <w:sz w:val="22"/>
          <w:szCs w:val="22"/>
        </w:rPr>
        <w:t xml:space="preserve"> (i.e., BBB- or better from S&amp;P Global Ratings, Baa3 or better from Moody’s Investors Services, Inc. </w:t>
      </w:r>
      <w:r w:rsidRPr="00032705">
        <w:rPr>
          <w:sz w:val="22"/>
          <w:szCs w:val="22"/>
        </w:rPr>
        <w:lastRenderedPageBreak/>
        <w:t xml:space="preserve">and BBB- or better from Fitch Investor Services, Inc.) as well as </w:t>
      </w:r>
      <w:r w:rsidR="00022E28" w:rsidRPr="00032705">
        <w:rPr>
          <w:sz w:val="22"/>
          <w:szCs w:val="22"/>
        </w:rPr>
        <w:t xml:space="preserve">corporate bonds </w:t>
      </w:r>
      <w:r w:rsidRPr="00032705">
        <w:rPr>
          <w:sz w:val="22"/>
          <w:szCs w:val="22"/>
        </w:rPr>
        <w:t xml:space="preserve">that are rated below “investment-grade” or are not rated by any rating agency. The Fund may invest in securities of any duration and maturity. </w:t>
      </w:r>
    </w:p>
    <w:p w14:paraId="04C3ADC9" w14:textId="77777777" w:rsidR="00B16BD4" w:rsidRPr="00032705" w:rsidRDefault="00B16BD4" w:rsidP="00B16BD4">
      <w:pPr>
        <w:jc w:val="both"/>
        <w:rPr>
          <w:sz w:val="22"/>
          <w:szCs w:val="22"/>
        </w:rPr>
      </w:pPr>
    </w:p>
    <w:p w14:paraId="61EEA4D3" w14:textId="18127993" w:rsidR="00846948" w:rsidRPr="00032705" w:rsidRDefault="00B16BD4" w:rsidP="00B16BD4">
      <w:pPr>
        <w:jc w:val="both"/>
        <w:rPr>
          <w:sz w:val="22"/>
          <w:szCs w:val="22"/>
        </w:rPr>
      </w:pPr>
      <w:r w:rsidRPr="00032705">
        <w:rPr>
          <w:sz w:val="22"/>
          <w:szCs w:val="22"/>
        </w:rPr>
        <w:t xml:space="preserve">The Fund may invest in derivatives, </w:t>
      </w:r>
      <w:r w:rsidR="00022E28" w:rsidRPr="00032705">
        <w:rPr>
          <w:sz w:val="22"/>
          <w:szCs w:val="22"/>
        </w:rPr>
        <w:t>specifically</w:t>
      </w:r>
      <w:r w:rsidR="008543B0" w:rsidRPr="00032705">
        <w:rPr>
          <w:sz w:val="22"/>
          <w:szCs w:val="22"/>
        </w:rPr>
        <w:t>,</w:t>
      </w:r>
      <w:r w:rsidR="00022E28" w:rsidRPr="00032705">
        <w:rPr>
          <w:sz w:val="22"/>
          <w:szCs w:val="22"/>
        </w:rPr>
        <w:t xml:space="preserve"> exchange traded futures and options</w:t>
      </w:r>
      <w:r w:rsidR="00AB4ACA">
        <w:rPr>
          <w:sz w:val="22"/>
          <w:szCs w:val="22"/>
        </w:rPr>
        <w:t>,</w:t>
      </w:r>
      <w:r w:rsidRPr="00032705">
        <w:rPr>
          <w:sz w:val="22"/>
          <w:szCs w:val="22"/>
        </w:rPr>
        <w:t xml:space="preserve"> in order to gain market exposure to natural resources or natural resources companies, enhance returns or hedge an existing position</w:t>
      </w:r>
      <w:r w:rsidR="008543B0" w:rsidRPr="00032705">
        <w:rPr>
          <w:sz w:val="22"/>
          <w:szCs w:val="22"/>
        </w:rPr>
        <w:t>, however, investment in derivatives is not currently anticipated.</w:t>
      </w:r>
    </w:p>
    <w:p w14:paraId="1B362452" w14:textId="77777777" w:rsidR="007026AE" w:rsidRPr="00032705" w:rsidRDefault="007026AE" w:rsidP="007026AE">
      <w:pPr>
        <w:jc w:val="both"/>
        <w:rPr>
          <w:sz w:val="22"/>
          <w:szCs w:val="22"/>
        </w:rPr>
      </w:pPr>
    </w:p>
    <w:p w14:paraId="071C2653" w14:textId="2BF3F40A" w:rsidR="007026AE" w:rsidRPr="00032705" w:rsidRDefault="007026AE" w:rsidP="00235B8B">
      <w:pPr>
        <w:jc w:val="both"/>
        <w:rPr>
          <w:sz w:val="22"/>
          <w:szCs w:val="22"/>
        </w:rPr>
      </w:pPr>
      <w:r w:rsidRPr="00032705">
        <w:rPr>
          <w:sz w:val="22"/>
          <w:szCs w:val="22"/>
        </w:rPr>
        <w:t>The Fund’s global exposure shall be calculated using the commitment approach as further detailed in Schedule 3 of the Prospectus under the heading “</w:t>
      </w:r>
      <w:r w:rsidRPr="00032705">
        <w:rPr>
          <w:i/>
          <w:iCs/>
          <w:sz w:val="22"/>
          <w:szCs w:val="22"/>
        </w:rPr>
        <w:t>Calculation of global exposure</w:t>
      </w:r>
      <w:r w:rsidRPr="00032705">
        <w:rPr>
          <w:sz w:val="22"/>
          <w:szCs w:val="22"/>
        </w:rPr>
        <w:t>”.</w:t>
      </w:r>
      <w:r w:rsidR="00235B8B" w:rsidRPr="00032705">
        <w:rPr>
          <w:sz w:val="22"/>
          <w:szCs w:val="22"/>
        </w:rPr>
        <w:t xml:space="preserve"> The Fund’s leverage shall not exceed 100% of its Net Asset Value.</w:t>
      </w:r>
    </w:p>
    <w:p w14:paraId="5DF6EB08" w14:textId="77777777" w:rsidR="00846948" w:rsidRPr="00032705" w:rsidRDefault="00846948" w:rsidP="00B16BD4">
      <w:pPr>
        <w:jc w:val="both"/>
        <w:rPr>
          <w:sz w:val="22"/>
          <w:szCs w:val="22"/>
        </w:rPr>
      </w:pPr>
    </w:p>
    <w:p w14:paraId="64A38A8A" w14:textId="723964A2" w:rsidR="00B16BD4" w:rsidRPr="00032705" w:rsidRDefault="00B16BD4" w:rsidP="00B16BD4">
      <w:pPr>
        <w:jc w:val="both"/>
        <w:rPr>
          <w:sz w:val="22"/>
          <w:szCs w:val="22"/>
        </w:rPr>
      </w:pPr>
      <w:r w:rsidRPr="00032705">
        <w:rPr>
          <w:sz w:val="22"/>
          <w:szCs w:val="22"/>
        </w:rPr>
        <w:t>At times, the Fund may invest in registered investment companies and/or ETFs</w:t>
      </w:r>
      <w:r w:rsidR="00022E28" w:rsidRPr="00032705">
        <w:rPr>
          <w:sz w:val="22"/>
          <w:szCs w:val="22"/>
        </w:rPr>
        <w:t xml:space="preserve"> (domiciled within the European Union, including ETFs that are exposed to natural resources or commodities)</w:t>
      </w:r>
      <w:r w:rsidRPr="00032705">
        <w:rPr>
          <w:sz w:val="22"/>
          <w:szCs w:val="22"/>
        </w:rPr>
        <w:t xml:space="preserve"> in order to obtain broad market exposure to a resource/commodity sector in lieu of investing in individual natural resources investments within the sector. </w:t>
      </w:r>
      <w:r w:rsidR="00022E28" w:rsidRPr="00032705">
        <w:rPr>
          <w:sz w:val="22"/>
          <w:szCs w:val="22"/>
        </w:rPr>
        <w:t xml:space="preserve">Investment in ETFs </w:t>
      </w:r>
      <w:r w:rsidR="00D47069">
        <w:rPr>
          <w:sz w:val="22"/>
          <w:szCs w:val="22"/>
        </w:rPr>
        <w:t xml:space="preserve">and registered investment companies </w:t>
      </w:r>
      <w:r w:rsidR="00022E28" w:rsidRPr="00032705">
        <w:rPr>
          <w:sz w:val="22"/>
          <w:szCs w:val="22"/>
        </w:rPr>
        <w:t xml:space="preserve">will not exceed 10% of the Net Asset Value of the Fund. </w:t>
      </w:r>
      <w:r w:rsidRPr="00032705">
        <w:rPr>
          <w:sz w:val="22"/>
          <w:szCs w:val="22"/>
        </w:rPr>
        <w:t>In addition, the Investment Manager may invest up to 10% of the Fund’s Net Asset Value in securities issued in private placements and IPOs</w:t>
      </w:r>
      <w:r w:rsidR="00D47069">
        <w:rPr>
          <w:sz w:val="22"/>
          <w:szCs w:val="22"/>
        </w:rPr>
        <w:t xml:space="preserve"> (excluding special purpose acquisition companies)</w:t>
      </w:r>
      <w:r w:rsidRPr="00032705">
        <w:rPr>
          <w:sz w:val="22"/>
          <w:szCs w:val="22"/>
        </w:rPr>
        <w:t xml:space="preserve">.  Private placements are considered opportunistically by the Investment Manager, including in circumstances where the Investment Manager may </w:t>
      </w:r>
      <w:r w:rsidR="00AB5A79" w:rsidRPr="00032705">
        <w:rPr>
          <w:sz w:val="22"/>
          <w:szCs w:val="22"/>
        </w:rPr>
        <w:t xml:space="preserve">gain exposure to a public company’s equity securities </w:t>
      </w:r>
      <w:r w:rsidR="000D459E">
        <w:rPr>
          <w:sz w:val="22"/>
          <w:szCs w:val="22"/>
        </w:rPr>
        <w:t xml:space="preserve">through private placement </w:t>
      </w:r>
      <w:r w:rsidR="00AB5A79" w:rsidRPr="00032705">
        <w:rPr>
          <w:sz w:val="22"/>
          <w:szCs w:val="22"/>
        </w:rPr>
        <w:t xml:space="preserve">at </w:t>
      </w:r>
      <w:r w:rsidRPr="00032705">
        <w:rPr>
          <w:sz w:val="22"/>
          <w:szCs w:val="22"/>
        </w:rPr>
        <w:t xml:space="preserve">a discounted </w:t>
      </w:r>
      <w:r w:rsidR="00AB5A79" w:rsidRPr="00032705">
        <w:rPr>
          <w:sz w:val="22"/>
          <w:szCs w:val="22"/>
        </w:rPr>
        <w:t>price</w:t>
      </w:r>
      <w:r w:rsidR="000D459E">
        <w:rPr>
          <w:sz w:val="22"/>
          <w:szCs w:val="22"/>
        </w:rPr>
        <w:t>.</w:t>
      </w:r>
    </w:p>
    <w:p w14:paraId="7106BAE7" w14:textId="77777777" w:rsidR="00B16BD4" w:rsidRPr="00032705" w:rsidRDefault="00B16BD4" w:rsidP="00B16BD4">
      <w:pPr>
        <w:jc w:val="both"/>
        <w:rPr>
          <w:sz w:val="22"/>
          <w:szCs w:val="22"/>
        </w:rPr>
      </w:pPr>
    </w:p>
    <w:p w14:paraId="2A3D29E7" w14:textId="77777777" w:rsidR="00B16BD4" w:rsidRPr="00032705" w:rsidRDefault="00B16BD4" w:rsidP="00B16BD4">
      <w:pPr>
        <w:jc w:val="both"/>
        <w:rPr>
          <w:sz w:val="22"/>
          <w:szCs w:val="22"/>
        </w:rPr>
      </w:pPr>
      <w:r w:rsidRPr="00032705">
        <w:rPr>
          <w:sz w:val="22"/>
          <w:szCs w:val="22"/>
        </w:rPr>
        <w:t>The Fund may hold both U.S. and non-U.S. securities (including in excess of 30% of Fund’s Net Asset Value in emerging market securities) and does not limit the proportion of securities held by geography. In addition, the Fund does not seek to limit its investments based upon market capitalisation and may hold securities of companies whose market capitalisation may range from very-small (‘micro-cap’) to very large (‘large-cap’). At times, the Fund may take a defensive position when it believes natural resource/commodity prices, or security valuations are at risk of a decline and as a result may hold a higher than normal level of cash.</w:t>
      </w:r>
    </w:p>
    <w:p w14:paraId="077D51AC" w14:textId="77777777" w:rsidR="000C258E" w:rsidRPr="00032705" w:rsidRDefault="000C258E" w:rsidP="000C258E">
      <w:pPr>
        <w:jc w:val="both"/>
        <w:rPr>
          <w:sz w:val="22"/>
          <w:szCs w:val="22"/>
        </w:rPr>
      </w:pPr>
    </w:p>
    <w:p w14:paraId="6DB2E349" w14:textId="77777777" w:rsidR="00B335DD" w:rsidRPr="00032705" w:rsidRDefault="00313DC1" w:rsidP="000C258E">
      <w:pPr>
        <w:adjustRightInd/>
        <w:jc w:val="both"/>
        <w:rPr>
          <w:sz w:val="22"/>
          <w:szCs w:val="22"/>
        </w:rPr>
      </w:pPr>
      <w:r w:rsidRPr="00032705">
        <w:rPr>
          <w:sz w:val="22"/>
          <w:szCs w:val="22"/>
        </w:rPr>
        <w:t>The securities comprising the portfolio of Fund may relate to a limited number of natural resources sectors.</w:t>
      </w:r>
    </w:p>
    <w:p w14:paraId="02C66361" w14:textId="77777777" w:rsidR="000C258E" w:rsidRPr="00032705" w:rsidRDefault="000C258E" w:rsidP="000C258E">
      <w:pPr>
        <w:adjustRightInd/>
        <w:rPr>
          <w:sz w:val="22"/>
          <w:szCs w:val="22"/>
        </w:rPr>
      </w:pPr>
    </w:p>
    <w:p w14:paraId="0FDF3D75" w14:textId="77777777" w:rsidR="00B335DD" w:rsidRPr="00032705" w:rsidRDefault="00BD3845">
      <w:pPr>
        <w:adjustRightInd/>
        <w:rPr>
          <w:i/>
          <w:sz w:val="22"/>
          <w:szCs w:val="22"/>
          <w:u w:val="single"/>
        </w:rPr>
      </w:pPr>
      <w:r w:rsidRPr="00032705">
        <w:rPr>
          <w:i/>
          <w:sz w:val="22"/>
          <w:szCs w:val="22"/>
          <w:u w:val="single"/>
        </w:rPr>
        <w:t>Investment Process</w:t>
      </w:r>
    </w:p>
    <w:p w14:paraId="02457459" w14:textId="77777777" w:rsidR="00B335DD" w:rsidRPr="00032705" w:rsidRDefault="00B335DD">
      <w:pPr>
        <w:adjustRightInd/>
        <w:rPr>
          <w:sz w:val="22"/>
          <w:szCs w:val="22"/>
        </w:rPr>
      </w:pPr>
    </w:p>
    <w:p w14:paraId="3D8D1F59" w14:textId="7E1F65F1" w:rsidR="00C6598C" w:rsidRPr="00032705" w:rsidRDefault="00B16BD4">
      <w:pPr>
        <w:adjustRightInd/>
        <w:jc w:val="both"/>
        <w:rPr>
          <w:color w:val="FF0000"/>
          <w:sz w:val="22"/>
          <w:szCs w:val="22"/>
        </w:rPr>
      </w:pPr>
      <w:r w:rsidRPr="00032705">
        <w:rPr>
          <w:color w:val="000000"/>
          <w:sz w:val="22"/>
          <w:szCs w:val="22"/>
          <w:lang w:val="en-IE"/>
        </w:rPr>
        <w:t xml:space="preserve">The Investment Manager believes that substantial value can be created by investing in the securities of companies engaged in those sectors of the natural resources industry where investor sentiment is extremely negative, the associated </w:t>
      </w:r>
      <w:r w:rsidRPr="00032705">
        <w:rPr>
          <w:sz w:val="22"/>
          <w:szCs w:val="22"/>
        </w:rPr>
        <w:t>natural resource/commodity</w:t>
      </w:r>
      <w:r w:rsidRPr="00032705">
        <w:rPr>
          <w:color w:val="000000"/>
          <w:sz w:val="22"/>
          <w:szCs w:val="22"/>
          <w:lang w:val="en-IE"/>
        </w:rPr>
        <w:t xml:space="preserve"> price is low relative to historical levels, or the Investment Manager believes that fundamental</w:t>
      </w:r>
      <w:r w:rsidR="00CC40FF" w:rsidRPr="00032705">
        <w:rPr>
          <w:color w:val="000000"/>
          <w:sz w:val="22"/>
          <w:szCs w:val="22"/>
          <w:lang w:val="en-IE"/>
        </w:rPr>
        <w:t xml:space="preserve"> factors, including consumer sentiment, demand for the resource or specific company operation environments</w:t>
      </w:r>
      <w:r w:rsidRPr="00032705">
        <w:rPr>
          <w:color w:val="000000"/>
          <w:sz w:val="22"/>
          <w:szCs w:val="22"/>
          <w:lang w:val="en-IE"/>
        </w:rPr>
        <w:t xml:space="preserve"> are on the verge of turning positive.  Accordingly, the Investment Manager seeks to implement an investment process that consists of both “top-down” and “bottom-up” analysis.</w:t>
      </w:r>
      <w:r w:rsidRPr="00032705">
        <w:rPr>
          <w:color w:val="FF0000"/>
          <w:sz w:val="22"/>
          <w:szCs w:val="22"/>
        </w:rPr>
        <w:t xml:space="preserve"> </w:t>
      </w:r>
    </w:p>
    <w:p w14:paraId="69F868D5" w14:textId="77777777" w:rsidR="00165BD4" w:rsidRPr="00032705" w:rsidRDefault="00165BD4">
      <w:pPr>
        <w:adjustRightInd/>
        <w:jc w:val="both"/>
        <w:rPr>
          <w:color w:val="000000"/>
          <w:sz w:val="22"/>
          <w:szCs w:val="22"/>
          <w:lang w:val="en-IE"/>
        </w:rPr>
      </w:pPr>
    </w:p>
    <w:p w14:paraId="79DA9981" w14:textId="0D30C199" w:rsidR="00105268" w:rsidRPr="00032705" w:rsidRDefault="00B16BD4">
      <w:pPr>
        <w:adjustRightInd/>
        <w:jc w:val="both"/>
        <w:rPr>
          <w:color w:val="000000"/>
          <w:sz w:val="22"/>
          <w:szCs w:val="22"/>
          <w:lang w:val="en-IE"/>
        </w:rPr>
      </w:pPr>
      <w:r w:rsidRPr="00032705">
        <w:rPr>
          <w:color w:val="000000"/>
          <w:sz w:val="22"/>
          <w:szCs w:val="22"/>
          <w:lang w:val="en-IE"/>
        </w:rPr>
        <w:t>For the “top-down” analysis, the Investment Manager</w:t>
      </w:r>
      <w:r w:rsidR="00CC40FF" w:rsidRPr="00032705">
        <w:rPr>
          <w:color w:val="000000"/>
          <w:sz w:val="22"/>
          <w:szCs w:val="22"/>
          <w:lang w:val="en-IE"/>
        </w:rPr>
        <w:t xml:space="preserve"> combines data from multiple industry sources to create proprietary supply and demand models. </w:t>
      </w:r>
      <w:r w:rsidR="000F155A" w:rsidRPr="00032705">
        <w:rPr>
          <w:color w:val="000000"/>
          <w:sz w:val="22"/>
          <w:szCs w:val="22"/>
          <w:lang w:val="en-IE"/>
        </w:rPr>
        <w:t xml:space="preserve"> </w:t>
      </w:r>
      <w:r w:rsidR="00CC40FF" w:rsidRPr="00032705">
        <w:rPr>
          <w:color w:val="000000"/>
          <w:sz w:val="22"/>
          <w:szCs w:val="22"/>
          <w:lang w:val="en-IE"/>
        </w:rPr>
        <w:t xml:space="preserve">The models help </w:t>
      </w:r>
      <w:r w:rsidRPr="00032705">
        <w:rPr>
          <w:color w:val="000000"/>
          <w:sz w:val="22"/>
          <w:szCs w:val="22"/>
          <w:lang w:val="en-IE"/>
        </w:rPr>
        <w:t xml:space="preserve">to form an outlook for a given natural resource </w:t>
      </w:r>
      <w:r w:rsidR="00820DDA" w:rsidRPr="00032705">
        <w:rPr>
          <w:color w:val="000000"/>
          <w:sz w:val="22"/>
          <w:szCs w:val="22"/>
          <w:lang w:val="en-IE"/>
        </w:rPr>
        <w:t>sector</w:t>
      </w:r>
      <w:r w:rsidRPr="00032705">
        <w:rPr>
          <w:color w:val="000000"/>
          <w:sz w:val="22"/>
          <w:szCs w:val="22"/>
          <w:lang w:val="en-IE"/>
        </w:rPr>
        <w:t>, including a price forecast for the natural resource sector.  As part of its “top-down” analysis, the Investment Manager considers the impact of sustainability risks on a given natural resource sector, as further described under the heading “Sustainable Finance Disclosures Regulation”.</w:t>
      </w:r>
    </w:p>
    <w:p w14:paraId="523FD9CE" w14:textId="77777777" w:rsidR="00165BD4" w:rsidRPr="00032705" w:rsidRDefault="00165BD4">
      <w:pPr>
        <w:adjustRightInd/>
        <w:jc w:val="both"/>
        <w:rPr>
          <w:color w:val="000000"/>
          <w:sz w:val="22"/>
          <w:szCs w:val="22"/>
          <w:lang w:val="en-IE"/>
        </w:rPr>
      </w:pPr>
    </w:p>
    <w:p w14:paraId="76939C0F" w14:textId="77777777" w:rsidR="00165BD4" w:rsidRPr="00032705" w:rsidRDefault="00B16BD4">
      <w:pPr>
        <w:adjustRightInd/>
        <w:jc w:val="both"/>
        <w:rPr>
          <w:color w:val="000000"/>
          <w:sz w:val="22"/>
          <w:szCs w:val="22"/>
          <w:lang w:val="en-IE"/>
        </w:rPr>
      </w:pPr>
      <w:r w:rsidRPr="00032705">
        <w:rPr>
          <w:color w:val="000000"/>
          <w:sz w:val="22"/>
          <w:szCs w:val="22"/>
          <w:lang w:val="en-IE"/>
        </w:rPr>
        <w:t>Once the “top-down” outlook for a given commodity is complete, the Investment Manager will conduct a “bottom-up” analysis of potential investments (i.e. an analysis of the securities of natural resources companies) to determine the intrinsic value of each individual</w:t>
      </w:r>
      <w:r w:rsidR="00820DDA" w:rsidRPr="00032705">
        <w:rPr>
          <w:color w:val="000000"/>
          <w:sz w:val="22"/>
          <w:szCs w:val="22"/>
          <w:lang w:val="en-IE"/>
        </w:rPr>
        <w:t xml:space="preserve"> potential</w:t>
      </w:r>
      <w:r w:rsidRPr="00032705">
        <w:rPr>
          <w:color w:val="000000"/>
          <w:sz w:val="22"/>
          <w:szCs w:val="22"/>
          <w:lang w:val="en-IE"/>
        </w:rPr>
        <w:t xml:space="preserve"> investment. In conducting the “bottom-up” analysis, the Fund will seek to use “value investing” techniques in determining the intrinsic value of each individual investment, taking into account the Investment Manager’s price forecast for the relevant natural resource sector determined as </w:t>
      </w:r>
      <w:r w:rsidRPr="00032705">
        <w:rPr>
          <w:color w:val="000000"/>
          <w:sz w:val="22"/>
          <w:szCs w:val="22"/>
          <w:lang w:val="en-IE"/>
        </w:rPr>
        <w:lastRenderedPageBreak/>
        <w:t>part of the “top-down” analysis.  The “value investing” techniques used by the Investment Manager include a discounted cash flow model, which determines the intrinsic value of a security based on the expected future cash flows of the related company, taking into account the Investment Manager’s natural resource price forecasts, as relevant.</w:t>
      </w:r>
    </w:p>
    <w:p w14:paraId="17D6DEB1" w14:textId="77777777" w:rsidR="00B16BD4" w:rsidRPr="00032705" w:rsidRDefault="00B16BD4">
      <w:pPr>
        <w:adjustRightInd/>
        <w:jc w:val="both"/>
        <w:rPr>
          <w:sz w:val="22"/>
          <w:szCs w:val="22"/>
        </w:rPr>
      </w:pPr>
    </w:p>
    <w:p w14:paraId="2929EDDD" w14:textId="77777777" w:rsidR="00B335DD" w:rsidRPr="00032705" w:rsidRDefault="00BD3845">
      <w:pPr>
        <w:jc w:val="both"/>
        <w:rPr>
          <w:sz w:val="22"/>
          <w:szCs w:val="22"/>
          <w:u w:val="single"/>
          <w:lang w:eastAsia="en-IE"/>
        </w:rPr>
      </w:pPr>
      <w:r w:rsidRPr="00032705">
        <w:rPr>
          <w:i/>
          <w:sz w:val="22"/>
          <w:szCs w:val="22"/>
          <w:u w:val="single"/>
          <w:shd w:val="clear" w:color="auto" w:fill="FFFFFF"/>
          <w:lang w:val="en-IE" w:eastAsia="en-IE"/>
        </w:rPr>
        <w:t>Securities Financing Transactions and Total Return Swaps</w:t>
      </w:r>
    </w:p>
    <w:p w14:paraId="48970EA7" w14:textId="77777777" w:rsidR="00B335DD" w:rsidRPr="00032705" w:rsidRDefault="00B335DD">
      <w:pPr>
        <w:jc w:val="both"/>
        <w:rPr>
          <w:sz w:val="22"/>
          <w:szCs w:val="22"/>
          <w:lang w:eastAsia="en-IE"/>
        </w:rPr>
      </w:pPr>
    </w:p>
    <w:p w14:paraId="6619EE90" w14:textId="77777777" w:rsidR="00B335DD" w:rsidRPr="00032705" w:rsidRDefault="00BD3845">
      <w:pPr>
        <w:widowControl w:val="0"/>
        <w:autoSpaceDE w:val="0"/>
        <w:autoSpaceDN w:val="0"/>
        <w:adjustRightInd/>
        <w:ind w:right="25"/>
        <w:jc w:val="both"/>
        <w:rPr>
          <w:sz w:val="22"/>
          <w:szCs w:val="22"/>
          <w:lang w:val="en-US"/>
        </w:rPr>
      </w:pPr>
      <w:r w:rsidRPr="00032705">
        <w:rPr>
          <w:sz w:val="22"/>
          <w:szCs w:val="22"/>
          <w:lang w:val="en-US"/>
        </w:rPr>
        <w:t>As of the date of this Supplement, it is not intended that the Fund shall enter into Securities Financing Transactions or total return swaps.</w:t>
      </w:r>
    </w:p>
    <w:p w14:paraId="0BE1F89C" w14:textId="77777777" w:rsidR="00B335DD" w:rsidRPr="00032705" w:rsidRDefault="00B335DD">
      <w:pPr>
        <w:keepNext/>
        <w:adjustRightInd/>
        <w:jc w:val="both"/>
        <w:rPr>
          <w:b/>
          <w:sz w:val="22"/>
          <w:szCs w:val="22"/>
        </w:rPr>
      </w:pPr>
    </w:p>
    <w:p w14:paraId="770B3A88" w14:textId="77777777" w:rsidR="00B335DD" w:rsidRPr="00032705" w:rsidRDefault="00BD3845">
      <w:pPr>
        <w:keepNext/>
        <w:adjustRightInd/>
        <w:jc w:val="both"/>
        <w:rPr>
          <w:b/>
          <w:sz w:val="22"/>
          <w:szCs w:val="22"/>
        </w:rPr>
      </w:pPr>
      <w:r w:rsidRPr="00032705">
        <w:rPr>
          <w:b/>
          <w:sz w:val="22"/>
          <w:szCs w:val="22"/>
        </w:rPr>
        <w:t>Sustainable Finance Disclosures Regulation</w:t>
      </w:r>
    </w:p>
    <w:p w14:paraId="04D166A6" w14:textId="77777777" w:rsidR="00133301" w:rsidRPr="00032705" w:rsidRDefault="00133301">
      <w:pPr>
        <w:keepNext/>
        <w:adjustRightInd/>
        <w:jc w:val="both"/>
        <w:rPr>
          <w:b/>
          <w:sz w:val="22"/>
          <w:szCs w:val="22"/>
        </w:rPr>
      </w:pPr>
    </w:p>
    <w:p w14:paraId="705BAFDD" w14:textId="77777777" w:rsidR="00133301" w:rsidRPr="00032705" w:rsidRDefault="00133301" w:rsidP="00133301">
      <w:pPr>
        <w:autoSpaceDE w:val="0"/>
        <w:autoSpaceDN w:val="0"/>
        <w:jc w:val="both"/>
        <w:rPr>
          <w:sz w:val="22"/>
          <w:szCs w:val="22"/>
          <w:lang w:val="en-IE"/>
        </w:rPr>
      </w:pPr>
      <w:r w:rsidRPr="00032705">
        <w:rPr>
          <w:sz w:val="22"/>
          <w:szCs w:val="22"/>
          <w:lang w:val="en-IE"/>
        </w:rPr>
        <w:t>Pursuant to the EU Sustainable Finance Disclosures Regulation (2019/2088) on sustainability-related disclosures in the financial services sector (“</w:t>
      </w:r>
      <w:r w:rsidRPr="00032705">
        <w:rPr>
          <w:b/>
          <w:sz w:val="22"/>
          <w:szCs w:val="22"/>
          <w:lang w:val="en-IE"/>
        </w:rPr>
        <w:t>SFDR</w:t>
      </w:r>
      <w:r w:rsidRPr="00032705">
        <w:rPr>
          <w:sz w:val="22"/>
          <w:szCs w:val="22"/>
          <w:lang w:val="en-IE"/>
        </w:rPr>
        <w:t>”), the Manager is required to disclose the manner in which sustainability risks are integrated into the investment process and the results of the assessment of the likely impacts of stainability risks on the returns of the Fund.</w:t>
      </w:r>
    </w:p>
    <w:p w14:paraId="0876AF05" w14:textId="77777777" w:rsidR="00133301" w:rsidRPr="00032705" w:rsidRDefault="00133301" w:rsidP="00133301">
      <w:pPr>
        <w:autoSpaceDE w:val="0"/>
        <w:autoSpaceDN w:val="0"/>
        <w:jc w:val="both"/>
        <w:rPr>
          <w:sz w:val="22"/>
          <w:szCs w:val="22"/>
          <w:lang w:val="en-IE"/>
        </w:rPr>
      </w:pPr>
    </w:p>
    <w:p w14:paraId="4C24FE80" w14:textId="77777777" w:rsidR="0054519A" w:rsidRPr="00032705" w:rsidRDefault="0054519A" w:rsidP="0054519A">
      <w:pPr>
        <w:autoSpaceDE w:val="0"/>
        <w:autoSpaceDN w:val="0"/>
        <w:jc w:val="both"/>
        <w:rPr>
          <w:sz w:val="22"/>
          <w:szCs w:val="22"/>
          <w:lang w:val="en-IE"/>
        </w:rPr>
      </w:pPr>
      <w:r w:rsidRPr="00032705">
        <w:rPr>
          <w:sz w:val="22"/>
          <w:szCs w:val="22"/>
          <w:lang w:val="en-IE"/>
        </w:rPr>
        <w:t>The Manager does not currently consider the principal adverse impacts of its investment decisions on sustainability factors within the meaning of Article 4(1)(a) of SFDR. The Manager does not currently do so because of the nature, scale and complexity of its activities and the wide and varied range of the financial products it makes available.</w:t>
      </w:r>
    </w:p>
    <w:p w14:paraId="42444A5E" w14:textId="77777777" w:rsidR="0054519A" w:rsidRPr="00032705" w:rsidRDefault="0054519A" w:rsidP="0054519A">
      <w:pPr>
        <w:autoSpaceDE w:val="0"/>
        <w:autoSpaceDN w:val="0"/>
        <w:jc w:val="both"/>
        <w:rPr>
          <w:sz w:val="22"/>
          <w:szCs w:val="22"/>
          <w:lang w:val="en-IE"/>
        </w:rPr>
      </w:pPr>
    </w:p>
    <w:p w14:paraId="50E5D822" w14:textId="77777777" w:rsidR="0054519A" w:rsidRPr="00032705" w:rsidRDefault="0054519A" w:rsidP="0054519A">
      <w:pPr>
        <w:autoSpaceDE w:val="0"/>
        <w:autoSpaceDN w:val="0"/>
        <w:jc w:val="both"/>
        <w:rPr>
          <w:sz w:val="22"/>
          <w:szCs w:val="22"/>
          <w:lang w:val="en-IE"/>
        </w:rPr>
      </w:pPr>
      <w:r w:rsidRPr="00032705">
        <w:rPr>
          <w:sz w:val="22"/>
          <w:szCs w:val="22"/>
          <w:lang w:val="en-IE"/>
        </w:rPr>
        <w:t xml:space="preserve">SFDR also requires the Manager to determine and disclose whether it considers the principal adverse impacts of its investment decisions on sustainability factors at the level of the Fund.  </w:t>
      </w:r>
    </w:p>
    <w:p w14:paraId="1CA15DFB" w14:textId="77777777" w:rsidR="0054519A" w:rsidRPr="00032705" w:rsidRDefault="0054519A" w:rsidP="0054519A">
      <w:pPr>
        <w:autoSpaceDE w:val="0"/>
        <w:autoSpaceDN w:val="0"/>
        <w:jc w:val="both"/>
        <w:rPr>
          <w:sz w:val="22"/>
          <w:szCs w:val="22"/>
          <w:lang w:val="en-IE"/>
        </w:rPr>
      </w:pPr>
    </w:p>
    <w:p w14:paraId="759F208D" w14:textId="77777777" w:rsidR="0054519A" w:rsidRPr="00032705" w:rsidRDefault="0054519A" w:rsidP="0054519A">
      <w:pPr>
        <w:autoSpaceDE w:val="0"/>
        <w:autoSpaceDN w:val="0"/>
        <w:jc w:val="both"/>
        <w:rPr>
          <w:sz w:val="22"/>
          <w:szCs w:val="22"/>
          <w:lang w:val="en-IE"/>
        </w:rPr>
      </w:pPr>
      <w:r w:rsidRPr="00032705">
        <w:rPr>
          <w:sz w:val="22"/>
          <w:szCs w:val="22"/>
          <w:lang w:val="en-IE"/>
        </w:rPr>
        <w:t>The Manager has adopted the Investment Manager’s approach in relation to the consideration of the principal adverse impacts of investment decisions on sustainability factors at the level of the Fund.</w:t>
      </w:r>
    </w:p>
    <w:p w14:paraId="74B0AE2A" w14:textId="77777777" w:rsidR="0054519A" w:rsidRPr="00032705" w:rsidRDefault="0054519A" w:rsidP="0054519A">
      <w:pPr>
        <w:autoSpaceDE w:val="0"/>
        <w:autoSpaceDN w:val="0"/>
        <w:jc w:val="both"/>
        <w:rPr>
          <w:sz w:val="22"/>
          <w:szCs w:val="22"/>
          <w:lang w:val="en-IE"/>
        </w:rPr>
      </w:pPr>
    </w:p>
    <w:p w14:paraId="391685A8" w14:textId="77777777" w:rsidR="0054519A" w:rsidRPr="00032705" w:rsidRDefault="0054519A" w:rsidP="0054519A">
      <w:pPr>
        <w:autoSpaceDE w:val="0"/>
        <w:autoSpaceDN w:val="0"/>
        <w:jc w:val="both"/>
        <w:rPr>
          <w:sz w:val="22"/>
          <w:szCs w:val="22"/>
          <w:lang w:val="en-IE"/>
        </w:rPr>
      </w:pPr>
      <w:r w:rsidRPr="00032705">
        <w:rPr>
          <w:sz w:val="22"/>
          <w:szCs w:val="22"/>
          <w:lang w:val="en-IE"/>
        </w:rPr>
        <w:t xml:space="preserve">Accordingly, due to the nature of the Fund, the Investment Manager does not consider principal adverse impacts of investment decisions on sustainability factors at the level of the Fund at this time. </w:t>
      </w:r>
    </w:p>
    <w:p w14:paraId="3012565F" w14:textId="77777777" w:rsidR="0054519A" w:rsidRPr="00032705" w:rsidRDefault="0054519A" w:rsidP="0054519A">
      <w:pPr>
        <w:autoSpaceDE w:val="0"/>
        <w:autoSpaceDN w:val="0"/>
        <w:jc w:val="both"/>
        <w:rPr>
          <w:sz w:val="22"/>
          <w:szCs w:val="22"/>
          <w:lang w:val="en-IE"/>
        </w:rPr>
      </w:pPr>
    </w:p>
    <w:p w14:paraId="4A885A45" w14:textId="77777777" w:rsidR="0054519A" w:rsidRPr="00032705" w:rsidRDefault="0054519A" w:rsidP="0054519A">
      <w:pPr>
        <w:autoSpaceDE w:val="0"/>
        <w:autoSpaceDN w:val="0"/>
        <w:jc w:val="both"/>
        <w:rPr>
          <w:sz w:val="22"/>
          <w:szCs w:val="22"/>
          <w:lang w:val="en-IE"/>
        </w:rPr>
      </w:pPr>
      <w:r w:rsidRPr="00032705">
        <w:rPr>
          <w:sz w:val="22"/>
          <w:szCs w:val="22"/>
          <w:lang w:val="en-IE"/>
        </w:rPr>
        <w:t>The position on principal adverse impacts will be kept under review by the Investment Manager, to be considered on at least an annual basis, and the Manager and the Investment Manager reserve the right to consider the principal adverse impacts of its investment decisions on sustainability factors within the meaning of Article 4(1)(a) of SFDR in the future.</w:t>
      </w:r>
    </w:p>
    <w:p w14:paraId="6BFBE826" w14:textId="77777777" w:rsidR="00F43BE4" w:rsidRPr="00032705" w:rsidRDefault="00F43BE4" w:rsidP="0054519A">
      <w:pPr>
        <w:autoSpaceDE w:val="0"/>
        <w:autoSpaceDN w:val="0"/>
        <w:jc w:val="both"/>
        <w:rPr>
          <w:sz w:val="22"/>
          <w:szCs w:val="22"/>
        </w:rPr>
      </w:pPr>
    </w:p>
    <w:p w14:paraId="3A05E6E7" w14:textId="77777777" w:rsidR="0054519A" w:rsidRPr="00032705" w:rsidRDefault="00133301" w:rsidP="0054519A">
      <w:pPr>
        <w:autoSpaceDE w:val="0"/>
        <w:autoSpaceDN w:val="0"/>
        <w:jc w:val="both"/>
        <w:rPr>
          <w:rStyle w:val="Hyperlink"/>
          <w:sz w:val="22"/>
          <w:szCs w:val="22"/>
          <w:lang w:val="en-IE"/>
        </w:rPr>
      </w:pPr>
      <w:r w:rsidRPr="00032705">
        <w:rPr>
          <w:sz w:val="22"/>
          <w:szCs w:val="22"/>
          <w:lang w:val="en-IE"/>
        </w:rPr>
        <w:t xml:space="preserve">The Manager’s statement on the transparency of sustainability risk policies and principle adverse impact may be accessed using the following link: </w:t>
      </w:r>
      <w:hyperlink r:id="rId25" w:history="1">
        <w:r w:rsidRPr="00032705">
          <w:rPr>
            <w:rStyle w:val="Hyperlink"/>
            <w:color w:val="auto"/>
            <w:sz w:val="22"/>
            <w:szCs w:val="22"/>
            <w:u w:val="none"/>
            <w:lang w:val="en-IE"/>
          </w:rPr>
          <w:t>https://www.fundrock.com/policies-and-compliance/sustainability-risks-pai-statements/</w:t>
        </w:r>
      </w:hyperlink>
    </w:p>
    <w:p w14:paraId="0F77F161" w14:textId="77777777" w:rsidR="00CC1005" w:rsidRPr="00032705" w:rsidRDefault="00CC1005" w:rsidP="0054519A">
      <w:pPr>
        <w:autoSpaceDE w:val="0"/>
        <w:autoSpaceDN w:val="0"/>
        <w:jc w:val="both"/>
        <w:rPr>
          <w:sz w:val="22"/>
          <w:szCs w:val="22"/>
          <w:lang w:val="en-IE"/>
        </w:rPr>
      </w:pPr>
    </w:p>
    <w:p w14:paraId="34A19180" w14:textId="60AA916D" w:rsidR="00FE5165" w:rsidRPr="00032705" w:rsidRDefault="00FE5165" w:rsidP="00FE5165">
      <w:pPr>
        <w:ind w:right="244"/>
        <w:jc w:val="both"/>
        <w:rPr>
          <w:i/>
          <w:iCs/>
          <w:sz w:val="22"/>
          <w:szCs w:val="22"/>
          <w:u w:val="single"/>
          <w:lang w:val="en-IE"/>
        </w:rPr>
      </w:pPr>
      <w:r w:rsidRPr="00032705">
        <w:rPr>
          <w:i/>
          <w:iCs/>
          <w:sz w:val="22"/>
          <w:szCs w:val="22"/>
          <w:u w:val="single"/>
          <w:lang w:val="en-IE"/>
        </w:rPr>
        <w:t>Integration of sustainability risk</w:t>
      </w:r>
    </w:p>
    <w:p w14:paraId="55826291" w14:textId="77777777" w:rsidR="00FE5165" w:rsidRPr="00032705" w:rsidRDefault="00FE5165" w:rsidP="00FB614B">
      <w:pPr>
        <w:autoSpaceDE w:val="0"/>
        <w:autoSpaceDN w:val="0"/>
        <w:jc w:val="both"/>
        <w:rPr>
          <w:sz w:val="22"/>
          <w:szCs w:val="22"/>
          <w:lang w:val="en-IE"/>
        </w:rPr>
      </w:pPr>
    </w:p>
    <w:p w14:paraId="0773D854" w14:textId="17DC4AB8" w:rsidR="00133301" w:rsidRPr="00032705" w:rsidRDefault="00133301" w:rsidP="00FB614B">
      <w:pPr>
        <w:autoSpaceDE w:val="0"/>
        <w:autoSpaceDN w:val="0"/>
        <w:jc w:val="both"/>
        <w:rPr>
          <w:sz w:val="22"/>
          <w:szCs w:val="22"/>
          <w:lang w:val="en-IE"/>
        </w:rPr>
      </w:pPr>
      <w:r w:rsidRPr="00032705">
        <w:rPr>
          <w:sz w:val="22"/>
          <w:szCs w:val="22"/>
          <w:lang w:val="en-IE"/>
        </w:rPr>
        <w:t xml:space="preserve">The Manager </w:t>
      </w:r>
      <w:r w:rsidR="00D47069">
        <w:rPr>
          <w:sz w:val="22"/>
          <w:szCs w:val="22"/>
          <w:lang w:val="en-IE"/>
        </w:rPr>
        <w:t>has adopted</w:t>
      </w:r>
      <w:r w:rsidRPr="00032705">
        <w:rPr>
          <w:sz w:val="22"/>
          <w:szCs w:val="22"/>
          <w:lang w:val="en-IE"/>
        </w:rPr>
        <w:t xml:space="preserve"> the Investment Manager’s policy in relation to the integration of sustainability risks into investment decisions for the Fund. A sustainability risk is defined in SFDR as an environmental, social or governance (“</w:t>
      </w:r>
      <w:r w:rsidRPr="00032705">
        <w:rPr>
          <w:b/>
          <w:sz w:val="22"/>
          <w:szCs w:val="22"/>
          <w:lang w:val="en-IE"/>
        </w:rPr>
        <w:t>ESG</w:t>
      </w:r>
      <w:r w:rsidRPr="00032705">
        <w:rPr>
          <w:sz w:val="22"/>
          <w:szCs w:val="22"/>
          <w:lang w:val="en-IE"/>
        </w:rPr>
        <w:t>”) event or condition that, if it occurs</w:t>
      </w:r>
      <w:r w:rsidRPr="00032705">
        <w:rPr>
          <w:sz w:val="22"/>
          <w:szCs w:val="22"/>
        </w:rPr>
        <w:t xml:space="preserve"> </w:t>
      </w:r>
      <w:r w:rsidRPr="00032705">
        <w:rPr>
          <w:sz w:val="22"/>
          <w:szCs w:val="22"/>
          <w:lang w:val="en-IE"/>
        </w:rPr>
        <w:t>could cause an actual or a potential material negative impact on the value of an investment.</w:t>
      </w:r>
    </w:p>
    <w:p w14:paraId="023EC9F0" w14:textId="77777777" w:rsidR="00133301" w:rsidRPr="00032705" w:rsidRDefault="00133301" w:rsidP="00133301">
      <w:pPr>
        <w:autoSpaceDE w:val="0"/>
        <w:autoSpaceDN w:val="0"/>
        <w:jc w:val="both"/>
        <w:rPr>
          <w:sz w:val="22"/>
          <w:szCs w:val="22"/>
          <w:lang w:val="en-IE"/>
        </w:rPr>
      </w:pPr>
    </w:p>
    <w:p w14:paraId="3DD5B13D" w14:textId="227FC1CE" w:rsidR="00D115E1" w:rsidRPr="00032705" w:rsidRDefault="0072711F" w:rsidP="003A5D62">
      <w:pPr>
        <w:ind w:right="244"/>
        <w:jc w:val="both"/>
        <w:rPr>
          <w:sz w:val="22"/>
          <w:szCs w:val="22"/>
          <w:lang w:val="en-IE"/>
        </w:rPr>
      </w:pPr>
      <w:r w:rsidRPr="00032705">
        <w:rPr>
          <w:sz w:val="22"/>
          <w:szCs w:val="22"/>
          <w:lang w:val="en-IE"/>
        </w:rPr>
        <w:t xml:space="preserve">The Fund is not classified as an Article 8 or Article 9 fund pursuant to SFDR, however, disclosure in accordance with the requirements of Article 6 of SFDR in relation to the Investment Manager’s integration of sustainability risks is set out below. </w:t>
      </w:r>
    </w:p>
    <w:p w14:paraId="49FD3BB7" w14:textId="77777777" w:rsidR="00133301" w:rsidRPr="00032705" w:rsidRDefault="00133301" w:rsidP="00133301">
      <w:pPr>
        <w:autoSpaceDE w:val="0"/>
        <w:autoSpaceDN w:val="0"/>
        <w:jc w:val="both"/>
        <w:rPr>
          <w:sz w:val="22"/>
          <w:szCs w:val="22"/>
          <w:lang w:val="en-IE"/>
        </w:rPr>
      </w:pPr>
    </w:p>
    <w:p w14:paraId="12E8C20F" w14:textId="77777777" w:rsidR="00133301" w:rsidRPr="00032705" w:rsidRDefault="00133301" w:rsidP="00133301">
      <w:pPr>
        <w:autoSpaceDE w:val="0"/>
        <w:autoSpaceDN w:val="0"/>
        <w:jc w:val="both"/>
        <w:rPr>
          <w:sz w:val="22"/>
          <w:szCs w:val="22"/>
          <w:lang w:val="en-IE"/>
        </w:rPr>
      </w:pPr>
      <w:r w:rsidRPr="00032705">
        <w:rPr>
          <w:sz w:val="22"/>
          <w:szCs w:val="22"/>
          <w:lang w:val="en-IE"/>
        </w:rPr>
        <w:t>The investments underlying this financial product do not take into account the EU criteria for environmentally sustainable economic activities.</w:t>
      </w:r>
    </w:p>
    <w:p w14:paraId="0669867B" w14:textId="77777777" w:rsidR="00133301" w:rsidRPr="00032705" w:rsidRDefault="00133301" w:rsidP="00133301">
      <w:pPr>
        <w:autoSpaceDE w:val="0"/>
        <w:autoSpaceDN w:val="0"/>
        <w:jc w:val="both"/>
        <w:rPr>
          <w:sz w:val="22"/>
          <w:szCs w:val="22"/>
          <w:lang w:val="en-IE"/>
        </w:rPr>
      </w:pPr>
    </w:p>
    <w:p w14:paraId="1958C5AC" w14:textId="63FBAB9E" w:rsidR="00D115E1" w:rsidRPr="00032705" w:rsidRDefault="00D115E1" w:rsidP="00D115E1">
      <w:pPr>
        <w:jc w:val="both"/>
        <w:rPr>
          <w:sz w:val="22"/>
          <w:szCs w:val="22"/>
        </w:rPr>
      </w:pPr>
      <w:r w:rsidRPr="00032705">
        <w:rPr>
          <w:sz w:val="22"/>
          <w:szCs w:val="22"/>
        </w:rPr>
        <w:lastRenderedPageBreak/>
        <w:t xml:space="preserve">The Investment Manager has elected not to </w:t>
      </w:r>
      <w:r w:rsidR="00613FC2" w:rsidRPr="00032705">
        <w:rPr>
          <w:sz w:val="22"/>
          <w:szCs w:val="22"/>
        </w:rPr>
        <w:t>exclude any investments for consideration based on ESG classifications</w:t>
      </w:r>
      <w:r w:rsidRPr="00032705">
        <w:rPr>
          <w:sz w:val="22"/>
          <w:szCs w:val="22"/>
        </w:rPr>
        <w:t>. The Investment Manager’s integration of sustainability risks in the investment decision-making process is reflected in the Investment Manager’s investment process.</w:t>
      </w:r>
    </w:p>
    <w:p w14:paraId="7DA418AB" w14:textId="77777777" w:rsidR="004C7EC4" w:rsidRPr="00032705" w:rsidRDefault="004C7EC4" w:rsidP="00C84240">
      <w:pPr>
        <w:autoSpaceDE w:val="0"/>
        <w:autoSpaceDN w:val="0"/>
        <w:jc w:val="both"/>
        <w:rPr>
          <w:sz w:val="22"/>
          <w:szCs w:val="22"/>
        </w:rPr>
      </w:pPr>
    </w:p>
    <w:p w14:paraId="1B535960" w14:textId="67F58F56" w:rsidR="00C378BA" w:rsidRPr="00032705" w:rsidRDefault="00133301" w:rsidP="00133301">
      <w:pPr>
        <w:jc w:val="both"/>
        <w:rPr>
          <w:sz w:val="22"/>
          <w:szCs w:val="22"/>
        </w:rPr>
      </w:pPr>
      <w:r w:rsidRPr="00032705">
        <w:rPr>
          <w:sz w:val="22"/>
          <w:szCs w:val="22"/>
        </w:rPr>
        <w:t xml:space="preserve">The Investment Manager has recourse to both internal and external research and integrates issues the Investment Manager regards as financially material sustainability risks into its investment decision-making processes. </w:t>
      </w:r>
      <w:r w:rsidR="00B34673" w:rsidRPr="00032705">
        <w:rPr>
          <w:sz w:val="22"/>
          <w:szCs w:val="22"/>
        </w:rPr>
        <w:t xml:space="preserve">The Investment Manager identifies as part of its investment process which sustainability risks could materially impact the performance of an investment. </w:t>
      </w:r>
      <w:r w:rsidRPr="00032705">
        <w:rPr>
          <w:sz w:val="22"/>
          <w:szCs w:val="22"/>
        </w:rPr>
        <w:t>While no asset is excluded from investment due solely to sustainability risks, the Investment Manager must conclude that any risk</w:t>
      </w:r>
      <w:r w:rsidR="005E2D4E" w:rsidRPr="00032705">
        <w:rPr>
          <w:sz w:val="22"/>
          <w:szCs w:val="22"/>
        </w:rPr>
        <w:t>s</w:t>
      </w:r>
      <w:r w:rsidRPr="00032705">
        <w:rPr>
          <w:sz w:val="22"/>
          <w:szCs w:val="22"/>
        </w:rPr>
        <w:t xml:space="preserve"> revealed in respect of an issuer or investee company, including sustainability risks, are regarded as acceptable to be considered suitable for investment consideration. The Investment Manager’s strategy may contain investments in sectors which are viewed as critical in providing low-carbon and carbon-free energy</w:t>
      </w:r>
      <w:r w:rsidR="006F1420" w:rsidRPr="00032705">
        <w:rPr>
          <w:sz w:val="22"/>
          <w:szCs w:val="22"/>
        </w:rPr>
        <w:t xml:space="preserve"> </w:t>
      </w:r>
      <w:r w:rsidR="002B60AE" w:rsidRPr="00032705">
        <w:rPr>
          <w:sz w:val="22"/>
          <w:szCs w:val="22"/>
        </w:rPr>
        <w:t>by</w:t>
      </w:r>
      <w:r w:rsidR="006F1420" w:rsidRPr="00032705">
        <w:rPr>
          <w:sz w:val="22"/>
          <w:szCs w:val="22"/>
        </w:rPr>
        <w:t xml:space="preserve"> providing </w:t>
      </w:r>
      <w:r w:rsidR="004D30E5" w:rsidRPr="00032705">
        <w:rPr>
          <w:sz w:val="22"/>
          <w:szCs w:val="22"/>
        </w:rPr>
        <w:t xml:space="preserve">the necessary </w:t>
      </w:r>
      <w:r w:rsidR="006F1420" w:rsidRPr="00032705">
        <w:rPr>
          <w:sz w:val="22"/>
          <w:szCs w:val="22"/>
        </w:rPr>
        <w:t xml:space="preserve">resources </w:t>
      </w:r>
      <w:r w:rsidR="002B60AE" w:rsidRPr="00032705">
        <w:rPr>
          <w:sz w:val="22"/>
          <w:szCs w:val="22"/>
        </w:rPr>
        <w:t xml:space="preserve">for </w:t>
      </w:r>
      <w:r w:rsidR="004D30E5" w:rsidRPr="00032705">
        <w:rPr>
          <w:sz w:val="22"/>
          <w:szCs w:val="22"/>
        </w:rPr>
        <w:t xml:space="preserve">the </w:t>
      </w:r>
      <w:r w:rsidR="002B60AE" w:rsidRPr="00032705">
        <w:rPr>
          <w:sz w:val="22"/>
          <w:szCs w:val="22"/>
        </w:rPr>
        <w:t>development of</w:t>
      </w:r>
      <w:r w:rsidR="006F1420" w:rsidRPr="00032705">
        <w:rPr>
          <w:sz w:val="22"/>
          <w:szCs w:val="22"/>
        </w:rPr>
        <w:t xml:space="preserve"> technology </w:t>
      </w:r>
      <w:r w:rsidR="005E2D4E" w:rsidRPr="00032705">
        <w:rPr>
          <w:sz w:val="22"/>
          <w:szCs w:val="22"/>
        </w:rPr>
        <w:t xml:space="preserve">used </w:t>
      </w:r>
      <w:r w:rsidR="004D30E5" w:rsidRPr="00032705">
        <w:rPr>
          <w:sz w:val="22"/>
          <w:szCs w:val="22"/>
        </w:rPr>
        <w:t>to generate</w:t>
      </w:r>
      <w:r w:rsidR="005E2D4E" w:rsidRPr="00032705">
        <w:rPr>
          <w:sz w:val="22"/>
          <w:szCs w:val="22"/>
        </w:rPr>
        <w:t xml:space="preserve"> low-carbon and</w:t>
      </w:r>
      <w:r w:rsidR="0051509F" w:rsidRPr="00032705">
        <w:rPr>
          <w:sz w:val="22"/>
          <w:szCs w:val="22"/>
        </w:rPr>
        <w:t xml:space="preserve"> / or</w:t>
      </w:r>
      <w:r w:rsidR="005E2D4E" w:rsidRPr="00032705">
        <w:rPr>
          <w:sz w:val="22"/>
          <w:szCs w:val="22"/>
        </w:rPr>
        <w:t xml:space="preserve"> carbon-free energy</w:t>
      </w:r>
      <w:r w:rsidRPr="00032705">
        <w:rPr>
          <w:sz w:val="22"/>
          <w:szCs w:val="22"/>
        </w:rPr>
        <w:t>, as well as in sectors which are critical in ensuring continued access to energy, which may not be categorised as low-carbon production.</w:t>
      </w:r>
      <w:r w:rsidR="00FE5165" w:rsidRPr="00032705">
        <w:rPr>
          <w:sz w:val="22"/>
          <w:szCs w:val="22"/>
        </w:rPr>
        <w:t xml:space="preserve"> </w:t>
      </w:r>
    </w:p>
    <w:p w14:paraId="67987816" w14:textId="77777777" w:rsidR="00C378BA" w:rsidRPr="00032705" w:rsidRDefault="00C378BA" w:rsidP="00133301">
      <w:pPr>
        <w:jc w:val="both"/>
        <w:rPr>
          <w:sz w:val="22"/>
          <w:szCs w:val="22"/>
        </w:rPr>
      </w:pPr>
    </w:p>
    <w:p w14:paraId="5F43D761" w14:textId="5C653EC8" w:rsidR="000850E0" w:rsidRPr="00032705" w:rsidRDefault="000850E0" w:rsidP="003A5D62">
      <w:pPr>
        <w:ind w:right="244"/>
        <w:jc w:val="both"/>
        <w:rPr>
          <w:sz w:val="22"/>
          <w:szCs w:val="22"/>
        </w:rPr>
      </w:pPr>
      <w:r w:rsidRPr="00032705">
        <w:rPr>
          <w:sz w:val="22"/>
          <w:szCs w:val="22"/>
        </w:rPr>
        <w:t>The Investment Manager aims to mitigate the medium to long term impact of sustainability risks on the performance of the Fund through its integration of sustainability risks in its investment process.</w:t>
      </w:r>
      <w:r w:rsidR="00FE5165" w:rsidRPr="00032705">
        <w:rPr>
          <w:sz w:val="22"/>
          <w:szCs w:val="22"/>
        </w:rPr>
        <w:t xml:space="preserve"> Given the investment strategy of the Fund and its risk profile, the likely impact of sustainability risks on the Fund’s returns is expected to be low.</w:t>
      </w:r>
    </w:p>
    <w:p w14:paraId="48AA99F3" w14:textId="77777777" w:rsidR="00224AF5" w:rsidRPr="00032705" w:rsidRDefault="00224AF5" w:rsidP="00847269">
      <w:pPr>
        <w:autoSpaceDE w:val="0"/>
        <w:autoSpaceDN w:val="0"/>
        <w:jc w:val="both"/>
        <w:rPr>
          <w:i/>
          <w:sz w:val="22"/>
          <w:szCs w:val="22"/>
        </w:rPr>
      </w:pPr>
    </w:p>
    <w:p w14:paraId="53E0E6D4" w14:textId="77777777" w:rsidR="00B335DD" w:rsidRPr="00032705" w:rsidRDefault="00BD3845">
      <w:pPr>
        <w:keepNext/>
        <w:adjustRightInd/>
        <w:jc w:val="both"/>
        <w:rPr>
          <w:b/>
          <w:sz w:val="22"/>
          <w:szCs w:val="22"/>
        </w:rPr>
      </w:pPr>
      <w:r w:rsidRPr="00032705">
        <w:rPr>
          <w:b/>
          <w:sz w:val="22"/>
          <w:szCs w:val="22"/>
        </w:rPr>
        <w:t>Investment and Borrowing Restrictions</w:t>
      </w:r>
    </w:p>
    <w:p w14:paraId="76042DE7" w14:textId="77777777" w:rsidR="00B335DD" w:rsidRPr="00032705" w:rsidRDefault="00B335DD">
      <w:pPr>
        <w:keepNext/>
        <w:adjustRightInd/>
        <w:jc w:val="both"/>
        <w:rPr>
          <w:b/>
          <w:sz w:val="22"/>
          <w:szCs w:val="22"/>
        </w:rPr>
      </w:pPr>
    </w:p>
    <w:p w14:paraId="1961DD6C" w14:textId="77777777" w:rsidR="00B335DD" w:rsidRPr="00032705" w:rsidRDefault="00BD3845">
      <w:pPr>
        <w:keepNext/>
        <w:widowControl w:val="0"/>
        <w:tabs>
          <w:tab w:val="left" w:pos="0"/>
        </w:tabs>
        <w:adjustRightInd/>
        <w:jc w:val="both"/>
        <w:rPr>
          <w:sz w:val="22"/>
          <w:szCs w:val="22"/>
          <w:lang w:val="en-US"/>
        </w:rPr>
      </w:pPr>
      <w:r w:rsidRPr="00032705">
        <w:rPr>
          <w:sz w:val="22"/>
          <w:szCs w:val="22"/>
        </w:rPr>
        <w:t>The Fund is subject to the investment and borrowing restrictions as set out in</w:t>
      </w:r>
      <w:r w:rsidRPr="00032705">
        <w:rPr>
          <w:b/>
          <w:sz w:val="22"/>
          <w:szCs w:val="22"/>
        </w:rPr>
        <w:t xml:space="preserve"> </w:t>
      </w:r>
      <w:r w:rsidRPr="00032705">
        <w:rPr>
          <w:sz w:val="22"/>
          <w:szCs w:val="22"/>
        </w:rPr>
        <w:t>Schedule 2 of the Prospectus and as provided for in the UCITS Requirements.</w:t>
      </w:r>
      <w:r w:rsidRPr="00032705">
        <w:rPr>
          <w:sz w:val="22"/>
          <w:szCs w:val="22"/>
          <w:lang w:val="en-US"/>
        </w:rPr>
        <w:t xml:space="preserve"> </w:t>
      </w:r>
    </w:p>
    <w:p w14:paraId="5A783E4B" w14:textId="77777777" w:rsidR="00B335DD" w:rsidRPr="00032705" w:rsidRDefault="00B335DD">
      <w:pPr>
        <w:widowControl w:val="0"/>
        <w:shd w:val="clear" w:color="auto" w:fill="FFFFFF"/>
        <w:tabs>
          <w:tab w:val="left" w:pos="0"/>
        </w:tabs>
        <w:adjustRightInd/>
        <w:jc w:val="both"/>
        <w:rPr>
          <w:sz w:val="22"/>
          <w:szCs w:val="22"/>
          <w:shd w:val="clear" w:color="auto" w:fill="FFFFFF"/>
        </w:rPr>
      </w:pPr>
    </w:p>
    <w:p w14:paraId="51FA96B7" w14:textId="77777777" w:rsidR="00B335DD" w:rsidRPr="00032705" w:rsidRDefault="00BD3845">
      <w:pPr>
        <w:adjustRightInd/>
        <w:jc w:val="both"/>
        <w:rPr>
          <w:sz w:val="22"/>
          <w:szCs w:val="22"/>
          <w:lang w:val="en-IE"/>
        </w:rPr>
      </w:pPr>
      <w:r w:rsidRPr="00032705">
        <w:rPr>
          <w:sz w:val="22"/>
          <w:szCs w:val="22"/>
          <w:lang w:val="en-IE"/>
        </w:rPr>
        <w:t>The Investment Manager may also arrange for temporary borrowings to provide liquidity in connection with redemption payments or purchases of securities, due to mismatches between the settlement periods of the Fund and investments held by the Fund, provided that the amount borrowed in this respect does not at any time exceed 10% of the Net Asset Value of the Fund.</w:t>
      </w:r>
    </w:p>
    <w:p w14:paraId="1574D1A9" w14:textId="77777777" w:rsidR="00B335DD" w:rsidRPr="00032705" w:rsidRDefault="00B335DD">
      <w:pPr>
        <w:adjustRightInd/>
        <w:jc w:val="both"/>
        <w:rPr>
          <w:b/>
          <w:sz w:val="22"/>
          <w:szCs w:val="22"/>
          <w:lang w:val="en-IE"/>
        </w:rPr>
      </w:pPr>
    </w:p>
    <w:p w14:paraId="3D9BF871" w14:textId="77777777" w:rsidR="00B335DD" w:rsidRPr="00032705" w:rsidRDefault="00BD3845">
      <w:pPr>
        <w:adjustRightInd/>
        <w:jc w:val="both"/>
        <w:rPr>
          <w:b/>
          <w:sz w:val="22"/>
          <w:szCs w:val="22"/>
          <w:lang w:val="en-IE"/>
        </w:rPr>
      </w:pPr>
      <w:r w:rsidRPr="00032705">
        <w:rPr>
          <w:b/>
          <w:sz w:val="22"/>
          <w:szCs w:val="22"/>
          <w:lang w:val="en-IE"/>
        </w:rPr>
        <w:t>Profile of a Typical Investor</w:t>
      </w:r>
    </w:p>
    <w:p w14:paraId="2396DBCC" w14:textId="77777777" w:rsidR="00B335DD" w:rsidRPr="00032705" w:rsidRDefault="00B335DD">
      <w:pPr>
        <w:adjustRightInd/>
        <w:jc w:val="both"/>
        <w:rPr>
          <w:b/>
          <w:sz w:val="22"/>
          <w:szCs w:val="22"/>
        </w:rPr>
      </w:pPr>
    </w:p>
    <w:p w14:paraId="6D7AE54B" w14:textId="77777777" w:rsidR="00B335DD" w:rsidRPr="00032705" w:rsidRDefault="00BD3845">
      <w:pPr>
        <w:adjustRightInd/>
        <w:jc w:val="both"/>
        <w:rPr>
          <w:sz w:val="22"/>
          <w:szCs w:val="22"/>
        </w:rPr>
      </w:pPr>
      <w:r w:rsidRPr="00032705">
        <w:rPr>
          <w:sz w:val="22"/>
          <w:szCs w:val="22"/>
        </w:rPr>
        <w:t>A typical investor in the Fund may be an investor with a medium to long term time horizon of up to five years or more, seeks to maximise total returns, and who is willing to accept fluctuations (sometimes significant) in the Net Asset Value per Share of the Fund during the short term.</w:t>
      </w:r>
    </w:p>
    <w:p w14:paraId="1EBB5354" w14:textId="77777777" w:rsidR="00B335DD" w:rsidRPr="00032705" w:rsidRDefault="00B335DD">
      <w:pPr>
        <w:adjustRightInd/>
        <w:jc w:val="both"/>
        <w:rPr>
          <w:sz w:val="22"/>
          <w:szCs w:val="22"/>
          <w:lang w:val="en-IE"/>
        </w:rPr>
      </w:pPr>
    </w:p>
    <w:p w14:paraId="13787258" w14:textId="77777777" w:rsidR="00B335DD" w:rsidRPr="00032705" w:rsidRDefault="00BD3845">
      <w:pPr>
        <w:adjustRightInd/>
        <w:jc w:val="both"/>
        <w:rPr>
          <w:b/>
          <w:sz w:val="22"/>
          <w:szCs w:val="22"/>
          <w:lang w:val="en-IE"/>
        </w:rPr>
      </w:pPr>
      <w:r w:rsidRPr="00032705">
        <w:rPr>
          <w:b/>
          <w:sz w:val="22"/>
          <w:szCs w:val="22"/>
          <w:lang w:val="en-IE"/>
        </w:rPr>
        <w:t>Management and Administration</w:t>
      </w:r>
    </w:p>
    <w:p w14:paraId="0EC74F9F" w14:textId="77777777" w:rsidR="00B335DD" w:rsidRPr="00032705" w:rsidRDefault="00B335DD">
      <w:pPr>
        <w:adjustRightInd/>
        <w:jc w:val="both"/>
        <w:rPr>
          <w:sz w:val="22"/>
          <w:szCs w:val="22"/>
          <w:lang w:val="en-IE"/>
        </w:rPr>
      </w:pPr>
    </w:p>
    <w:p w14:paraId="0F463C57" w14:textId="77777777" w:rsidR="00B335DD" w:rsidRPr="00032705" w:rsidRDefault="00BD3845">
      <w:pPr>
        <w:adjustRightInd/>
        <w:jc w:val="both"/>
        <w:rPr>
          <w:sz w:val="22"/>
          <w:szCs w:val="22"/>
          <w:lang w:val="en-IE"/>
        </w:rPr>
      </w:pPr>
      <w:r w:rsidRPr="00032705">
        <w:rPr>
          <w:sz w:val="22"/>
          <w:szCs w:val="22"/>
          <w:lang w:val="en-IE"/>
        </w:rPr>
        <w:t xml:space="preserve">Detailed descriptions of the Directors and service providers to the ICAV are set out in the Prospectus.  </w:t>
      </w:r>
    </w:p>
    <w:p w14:paraId="14858437" w14:textId="77777777" w:rsidR="00B335DD" w:rsidRPr="00032705" w:rsidRDefault="00B335DD">
      <w:pPr>
        <w:adjustRightInd/>
        <w:jc w:val="both"/>
        <w:rPr>
          <w:sz w:val="22"/>
          <w:szCs w:val="22"/>
          <w:lang w:val="en-IE"/>
        </w:rPr>
      </w:pPr>
    </w:p>
    <w:p w14:paraId="612DE4B5" w14:textId="77777777" w:rsidR="00B335DD" w:rsidRPr="00032705" w:rsidRDefault="00BD3845">
      <w:pPr>
        <w:adjustRightInd/>
        <w:jc w:val="both"/>
        <w:rPr>
          <w:b/>
          <w:sz w:val="22"/>
          <w:szCs w:val="22"/>
          <w:lang w:val="en-IE"/>
        </w:rPr>
      </w:pPr>
      <w:r w:rsidRPr="00032705">
        <w:rPr>
          <w:b/>
          <w:sz w:val="22"/>
          <w:szCs w:val="22"/>
          <w:lang w:val="en-IE"/>
        </w:rPr>
        <w:t>The Investment Manager</w:t>
      </w:r>
    </w:p>
    <w:p w14:paraId="38ABCC78" w14:textId="77777777" w:rsidR="00B335DD" w:rsidRPr="00032705" w:rsidRDefault="00B335DD">
      <w:pPr>
        <w:adjustRightInd/>
        <w:jc w:val="both"/>
        <w:rPr>
          <w:b/>
          <w:sz w:val="22"/>
          <w:szCs w:val="22"/>
          <w:lang w:val="en-IE"/>
        </w:rPr>
      </w:pPr>
    </w:p>
    <w:p w14:paraId="31CFF3D5" w14:textId="75ED7996" w:rsidR="00B335DD" w:rsidRPr="00032705" w:rsidRDefault="00BD3845">
      <w:pPr>
        <w:autoSpaceDE w:val="0"/>
        <w:autoSpaceDN w:val="0"/>
        <w:spacing w:after="240"/>
        <w:jc w:val="both"/>
        <w:rPr>
          <w:color w:val="000000"/>
          <w:sz w:val="22"/>
          <w:szCs w:val="22"/>
          <w:lang w:val="en-IE" w:eastAsia="en-IE"/>
        </w:rPr>
      </w:pPr>
      <w:r w:rsidRPr="00032705">
        <w:rPr>
          <w:sz w:val="22"/>
          <w:szCs w:val="22"/>
          <w:lang w:val="en-IE" w:eastAsia="en-IE"/>
        </w:rPr>
        <w:t xml:space="preserve">The Investment Manager is Goehring &amp; Rozencwajg Associates, LLC with its registered office at </w:t>
      </w:r>
      <w:r w:rsidR="00DE5B2A">
        <w:rPr>
          <w:sz w:val="22"/>
          <w:szCs w:val="22"/>
          <w:lang w:val="en-IE" w:eastAsia="en-IE"/>
        </w:rPr>
        <w:t>115 Broadway</w:t>
      </w:r>
      <w:r w:rsidRPr="00032705">
        <w:rPr>
          <w:sz w:val="22"/>
          <w:szCs w:val="22"/>
          <w:lang w:val="en-IE" w:eastAsia="en-IE"/>
        </w:rPr>
        <w:t>, New York, NY 1000</w:t>
      </w:r>
      <w:r w:rsidR="00DE5B2A">
        <w:rPr>
          <w:sz w:val="22"/>
          <w:szCs w:val="22"/>
          <w:lang w:val="en-IE" w:eastAsia="en-IE"/>
        </w:rPr>
        <w:t>6</w:t>
      </w:r>
      <w:r w:rsidRPr="00032705">
        <w:rPr>
          <w:sz w:val="22"/>
          <w:szCs w:val="22"/>
          <w:lang w:val="en-IE" w:eastAsia="en-IE"/>
        </w:rPr>
        <w:t>, United States.</w:t>
      </w:r>
    </w:p>
    <w:p w14:paraId="11C9FCDC" w14:textId="77777777" w:rsidR="00330283" w:rsidRPr="00032705" w:rsidRDefault="00BD3845" w:rsidP="00612E05">
      <w:pPr>
        <w:autoSpaceDE w:val="0"/>
        <w:autoSpaceDN w:val="0"/>
        <w:spacing w:after="240"/>
        <w:jc w:val="both"/>
        <w:rPr>
          <w:sz w:val="22"/>
          <w:szCs w:val="22"/>
          <w:lang w:val="en-US" w:eastAsia="en-GB"/>
        </w:rPr>
      </w:pPr>
      <w:r w:rsidRPr="00032705">
        <w:rPr>
          <w:sz w:val="22"/>
          <w:szCs w:val="22"/>
          <w:lang w:val="en-US" w:eastAsia="en-GB"/>
        </w:rPr>
        <w:t xml:space="preserve">The Investment Management Agreement provides that the Investment Manager shall be responsible for the investment of the Fund’s assets. </w:t>
      </w:r>
    </w:p>
    <w:p w14:paraId="0CF64C88" w14:textId="77777777" w:rsidR="00B335DD" w:rsidRPr="00032705" w:rsidRDefault="00BD3845" w:rsidP="009E65A1">
      <w:pPr>
        <w:pStyle w:val="Heading1"/>
        <w:keepLines w:val="0"/>
        <w:adjustRightInd/>
        <w:spacing w:before="0"/>
        <w:rPr>
          <w:rFonts w:ascii="Times New Roman" w:hAnsi="Times New Roman" w:cs="Times New Roman"/>
          <w:b/>
          <w:color w:val="auto"/>
          <w:sz w:val="22"/>
          <w:szCs w:val="22"/>
        </w:rPr>
      </w:pPr>
      <w:r w:rsidRPr="00032705">
        <w:rPr>
          <w:rFonts w:ascii="Times New Roman" w:eastAsia="MS Gothic" w:hAnsi="Times New Roman" w:cs="Times New Roman"/>
          <w:b/>
          <w:color w:val="auto"/>
          <w:sz w:val="22"/>
          <w:szCs w:val="22"/>
        </w:rPr>
        <w:t>RISK FACTORS</w:t>
      </w:r>
    </w:p>
    <w:p w14:paraId="5FE2B141" w14:textId="77777777" w:rsidR="00B335DD" w:rsidRPr="00032705" w:rsidRDefault="00B335DD" w:rsidP="009E65A1">
      <w:pPr>
        <w:keepNext/>
        <w:adjustRightInd/>
        <w:rPr>
          <w:sz w:val="22"/>
          <w:szCs w:val="22"/>
        </w:rPr>
      </w:pPr>
    </w:p>
    <w:p w14:paraId="16B6FF21" w14:textId="77777777" w:rsidR="00682024" w:rsidRPr="00032705" w:rsidRDefault="0077356F" w:rsidP="009E65A1">
      <w:pPr>
        <w:keepNext/>
        <w:tabs>
          <w:tab w:val="left" w:pos="0"/>
        </w:tabs>
        <w:autoSpaceDE w:val="0"/>
        <w:autoSpaceDN w:val="0"/>
        <w:jc w:val="both"/>
        <w:rPr>
          <w:b/>
          <w:sz w:val="22"/>
          <w:szCs w:val="22"/>
        </w:rPr>
      </w:pPr>
      <w:r w:rsidRPr="00032705">
        <w:rPr>
          <w:b/>
          <w:sz w:val="22"/>
          <w:szCs w:val="22"/>
        </w:rPr>
        <w:t xml:space="preserve">There is no guarantee that the Fund will achieve its investment objective. Investors’ attention is drawn to the risk factors set out in the Prospectus and to the following </w:t>
      </w:r>
      <w:r w:rsidRPr="00032705">
        <w:rPr>
          <w:b/>
          <w:sz w:val="22"/>
          <w:szCs w:val="22"/>
        </w:rPr>
        <w:lastRenderedPageBreak/>
        <w:t xml:space="preserve">additional risk factors describing the principal risks of the Fund’s portfolio, which may adversely affect Net Asset Value of the Fund. </w:t>
      </w:r>
    </w:p>
    <w:p w14:paraId="7BF5DA0C" w14:textId="77777777" w:rsidR="00B16BD4" w:rsidRPr="00032705" w:rsidRDefault="00B16BD4" w:rsidP="009E65A1">
      <w:pPr>
        <w:keepNext/>
        <w:jc w:val="both"/>
        <w:rPr>
          <w:sz w:val="22"/>
          <w:szCs w:val="22"/>
        </w:rPr>
      </w:pPr>
    </w:p>
    <w:p w14:paraId="21BAFCC4" w14:textId="77777777" w:rsidR="00B16BD4" w:rsidRPr="00032705" w:rsidRDefault="00B16BD4" w:rsidP="009E65A1">
      <w:pPr>
        <w:keepNext/>
        <w:jc w:val="both"/>
        <w:rPr>
          <w:sz w:val="22"/>
          <w:szCs w:val="22"/>
        </w:rPr>
      </w:pPr>
      <w:r w:rsidRPr="00032705">
        <w:rPr>
          <w:b/>
          <w:sz w:val="22"/>
          <w:szCs w:val="22"/>
        </w:rPr>
        <w:t>Natural Resources Investment Risk:</w:t>
      </w:r>
      <w:r w:rsidRPr="00032705">
        <w:rPr>
          <w:sz w:val="22"/>
          <w:szCs w:val="22"/>
        </w:rPr>
        <w:t xml:space="preserve"> Investment in companies in the natural resources industries can be significantly affected by (often rapid) changes in supply of, or demand for, various natural resources. They may also be affected by changes in energy prices, international political and economic developments, environmental incidents, energy conservation, the success of exploration projects, changes in commodity prices, and tax and other government regulations. Energy prices may decline sharply, and a prolonged slump in energy prices is likely to have a negative effect on companies that extract, process or deliver energy‐related commodities.</w:t>
      </w:r>
    </w:p>
    <w:p w14:paraId="1D7FAF2A" w14:textId="77777777" w:rsidR="00B16BD4" w:rsidRPr="00032705" w:rsidRDefault="00B16BD4" w:rsidP="009E65A1">
      <w:pPr>
        <w:keepNext/>
        <w:jc w:val="both"/>
        <w:rPr>
          <w:sz w:val="22"/>
          <w:szCs w:val="22"/>
        </w:rPr>
      </w:pPr>
    </w:p>
    <w:p w14:paraId="466FAE6E" w14:textId="77777777" w:rsidR="00B16BD4" w:rsidRPr="00032705" w:rsidRDefault="00B16BD4" w:rsidP="009E65A1">
      <w:pPr>
        <w:keepNext/>
        <w:jc w:val="both"/>
        <w:rPr>
          <w:sz w:val="22"/>
          <w:szCs w:val="22"/>
        </w:rPr>
      </w:pPr>
      <w:r w:rsidRPr="00032705">
        <w:rPr>
          <w:b/>
          <w:sz w:val="22"/>
          <w:szCs w:val="22"/>
        </w:rPr>
        <w:t>Concentration Risk:</w:t>
      </w:r>
      <w:r w:rsidRPr="00032705">
        <w:rPr>
          <w:sz w:val="22"/>
          <w:szCs w:val="22"/>
        </w:rPr>
        <w:t xml:space="preserve"> The Fund concentrates its investments in natural resources investments. Concentrating in natural resources investments increases the risk of loss because the stocks of many or all of the companies in the natural resources industry may decline in value due to a development adversely affecting the industry or one or more particular sub‐industries or commodities. In addition, investors may buy or sell substantial amounts of the Fund’s shares in response to factors affecting or expected to affect the natural resources industry, resulting in extreme inflows and outflows of cash into and out of the Fund. Such inflows or outflows might affect management of the Fund adversely to the extent they were to cause the Fund’s cash position or cash requirements to exceed normal levels.</w:t>
      </w:r>
    </w:p>
    <w:p w14:paraId="45839970" w14:textId="77777777" w:rsidR="00B16BD4" w:rsidRPr="00032705" w:rsidRDefault="00B16BD4" w:rsidP="009E65A1">
      <w:pPr>
        <w:keepNext/>
        <w:jc w:val="both"/>
        <w:rPr>
          <w:sz w:val="22"/>
          <w:szCs w:val="22"/>
        </w:rPr>
      </w:pPr>
    </w:p>
    <w:p w14:paraId="64A2319B" w14:textId="77777777" w:rsidR="00B16BD4" w:rsidRPr="00032705" w:rsidRDefault="00B16BD4" w:rsidP="009E65A1">
      <w:pPr>
        <w:keepNext/>
        <w:jc w:val="both"/>
        <w:rPr>
          <w:sz w:val="22"/>
          <w:szCs w:val="22"/>
        </w:rPr>
      </w:pPr>
      <w:r w:rsidRPr="00032705">
        <w:rPr>
          <w:b/>
          <w:sz w:val="22"/>
          <w:szCs w:val="22"/>
        </w:rPr>
        <w:t>Market Disruption and Geopolitical Risk:</w:t>
      </w:r>
      <w:r w:rsidRPr="00032705">
        <w:rPr>
          <w:sz w:val="22"/>
          <w:szCs w:val="22"/>
        </w:rPr>
        <w:t xml:space="preserve"> Geopolitical and other events may disrupt securities markets and adversely affect global economies and markets. Those events, as well as other changes in non‐U.S. and U.S. economic and political conditions, could adversely affect the value of the Fund’s investments.</w:t>
      </w:r>
    </w:p>
    <w:p w14:paraId="3D55F1EF" w14:textId="77777777" w:rsidR="00B16BD4" w:rsidRPr="00032705" w:rsidRDefault="00B16BD4" w:rsidP="009E65A1">
      <w:pPr>
        <w:keepNext/>
        <w:jc w:val="both"/>
        <w:rPr>
          <w:sz w:val="22"/>
          <w:szCs w:val="22"/>
        </w:rPr>
      </w:pPr>
    </w:p>
    <w:p w14:paraId="252F2382" w14:textId="77777777" w:rsidR="00B16BD4" w:rsidRPr="00032705" w:rsidRDefault="00B16BD4" w:rsidP="009E65A1">
      <w:pPr>
        <w:keepNext/>
        <w:jc w:val="both"/>
        <w:rPr>
          <w:sz w:val="22"/>
          <w:szCs w:val="22"/>
        </w:rPr>
      </w:pPr>
      <w:r w:rsidRPr="00032705">
        <w:rPr>
          <w:b/>
          <w:sz w:val="22"/>
          <w:szCs w:val="22"/>
        </w:rPr>
        <w:t>Coronavirus (COVID‐19) Pandemic Risk:</w:t>
      </w:r>
      <w:r w:rsidRPr="00032705">
        <w:rPr>
          <w:sz w:val="22"/>
          <w:szCs w:val="22"/>
        </w:rPr>
        <w:t xml:space="preserve"> The impact of the COVID‐19 pandemic has negatively affected the worldwide economy, as well as the economies of individual countries, individual companies and the market in general, in significant and unforeseen ways. The energy and commodity markets have been especially negatively impacted by the economic disruptions caused by COVID‐19. Health crises caused by outbreaks, such as the COVID‐19 pandemic, may exacerbate other pre‐existing political, social and economic risks and disrupt normal market conditions and operations. The near‐term impact of the COVID‐19 pandemic has resulted in substantial market volatility, which may have an adverse effect on the Fund’s investments.</w:t>
      </w:r>
    </w:p>
    <w:p w14:paraId="1C720939" w14:textId="77777777" w:rsidR="00BD26F1" w:rsidRPr="00032705" w:rsidRDefault="00BD26F1" w:rsidP="009E65A1">
      <w:pPr>
        <w:keepNext/>
        <w:jc w:val="both"/>
        <w:rPr>
          <w:sz w:val="22"/>
          <w:szCs w:val="22"/>
        </w:rPr>
      </w:pPr>
    </w:p>
    <w:p w14:paraId="5DD87EC3" w14:textId="77777777" w:rsidR="00BD26F1" w:rsidRPr="00032705" w:rsidRDefault="00BD26F1" w:rsidP="009E65A1">
      <w:pPr>
        <w:keepNext/>
        <w:jc w:val="both"/>
        <w:rPr>
          <w:sz w:val="22"/>
          <w:szCs w:val="22"/>
        </w:rPr>
      </w:pPr>
      <w:r w:rsidRPr="00032705">
        <w:rPr>
          <w:b/>
          <w:sz w:val="22"/>
          <w:szCs w:val="22"/>
        </w:rPr>
        <w:t>Commodities Risk</w:t>
      </w:r>
      <w:r w:rsidRPr="00032705">
        <w:rPr>
          <w:sz w:val="22"/>
          <w:szCs w:val="22"/>
        </w:rPr>
        <w:t>: Commodity prices can be extremely volatile, and to the extent that the Fund is exposed to a commodity sub‐sector that undergoes a period of weakness, an investor can expect that volatility to impact returns from the Fund.</w:t>
      </w:r>
    </w:p>
    <w:p w14:paraId="5583DB60" w14:textId="77777777" w:rsidR="00BE2209" w:rsidRPr="00032705" w:rsidRDefault="00BE2209" w:rsidP="009E65A1">
      <w:pPr>
        <w:keepNext/>
        <w:jc w:val="both"/>
        <w:rPr>
          <w:sz w:val="22"/>
          <w:szCs w:val="22"/>
        </w:rPr>
      </w:pPr>
    </w:p>
    <w:p w14:paraId="3E83D83A" w14:textId="77777777" w:rsidR="00BE2209" w:rsidRPr="00032705" w:rsidRDefault="00BE2209" w:rsidP="009E65A1">
      <w:pPr>
        <w:keepNext/>
        <w:jc w:val="both"/>
        <w:rPr>
          <w:sz w:val="22"/>
          <w:szCs w:val="22"/>
        </w:rPr>
      </w:pPr>
      <w:r w:rsidRPr="00032705">
        <w:rPr>
          <w:b/>
          <w:sz w:val="22"/>
          <w:szCs w:val="22"/>
        </w:rPr>
        <w:t xml:space="preserve">Emerging Markets Risks: </w:t>
      </w:r>
      <w:r w:rsidRPr="00032705">
        <w:rPr>
          <w:sz w:val="22"/>
          <w:szCs w:val="22"/>
        </w:rPr>
        <w:t xml:space="preserve">The Fund may invest in securities of issuers in emerging markets. Such securities may involve a high degree of risk and may be considered speculative. Risks include (i) greater risk of expropriation, confiscation, taxation, nationalisation, and social, political and economic instability; (ii) the smaller markets for securities of emerging markets issuers and lower volumes of trading, resulting in lack of liquidity and in greater price volatility; (iii) certain national policies which may restrict the investment opportunities available in respect of a Fund, including restrictions on investing in issuers or industries deemed sensitive to relevant national interests and on the realisation or repatriation of foreign investment; (iv) </w:t>
      </w:r>
      <w:r w:rsidRPr="00032705">
        <w:rPr>
          <w:sz w:val="22"/>
          <w:szCs w:val="22"/>
        </w:rPr>
        <w:lastRenderedPageBreak/>
        <w:t>currency instability and hyper-inflation; and (v) the absence of developed legal structures governing private or foreign investment and private property.</w:t>
      </w:r>
    </w:p>
    <w:p w14:paraId="630B078E" w14:textId="77777777" w:rsidR="00BE2209" w:rsidRPr="00032705" w:rsidRDefault="00BE2209" w:rsidP="009E65A1">
      <w:pPr>
        <w:keepNext/>
        <w:jc w:val="both"/>
        <w:rPr>
          <w:sz w:val="22"/>
          <w:szCs w:val="22"/>
        </w:rPr>
      </w:pPr>
    </w:p>
    <w:p w14:paraId="392DAE4D" w14:textId="77777777" w:rsidR="00BE2209" w:rsidRPr="00032705" w:rsidRDefault="00BE2209" w:rsidP="009E65A1">
      <w:pPr>
        <w:keepNext/>
        <w:jc w:val="both"/>
        <w:rPr>
          <w:sz w:val="22"/>
          <w:szCs w:val="22"/>
        </w:rPr>
      </w:pPr>
      <w:r w:rsidRPr="00032705">
        <w:rPr>
          <w:sz w:val="22"/>
          <w:szCs w:val="22"/>
        </w:rPr>
        <w:t>The accounting, auditing and financial reporting standards of countries in which a Fund may invest are likely to be less extensive, particularly in emerging markets.</w:t>
      </w:r>
    </w:p>
    <w:p w14:paraId="2884800A" w14:textId="77777777" w:rsidR="00BE2209" w:rsidRPr="00032705" w:rsidRDefault="00BE2209" w:rsidP="009E65A1">
      <w:pPr>
        <w:keepNext/>
        <w:jc w:val="both"/>
        <w:rPr>
          <w:sz w:val="22"/>
          <w:szCs w:val="22"/>
        </w:rPr>
      </w:pPr>
    </w:p>
    <w:p w14:paraId="7E30BEB8" w14:textId="25FBFF13" w:rsidR="00BE2209" w:rsidRPr="00032705" w:rsidRDefault="00BE2209" w:rsidP="009E65A1">
      <w:pPr>
        <w:keepNext/>
        <w:jc w:val="both"/>
        <w:rPr>
          <w:sz w:val="22"/>
          <w:szCs w:val="22"/>
        </w:rPr>
      </w:pPr>
      <w:r w:rsidRPr="00032705">
        <w:rPr>
          <w:sz w:val="22"/>
          <w:szCs w:val="22"/>
        </w:rPr>
        <w:t xml:space="preserve">Certain markets in Central and Eastern Europe present specific risks in relation to the settlement and safekeeping of securities.  </w:t>
      </w:r>
    </w:p>
    <w:p w14:paraId="2F1196CD" w14:textId="77777777" w:rsidR="00B335DD" w:rsidRPr="00032705" w:rsidRDefault="00B335DD">
      <w:pPr>
        <w:tabs>
          <w:tab w:val="left" w:pos="0"/>
        </w:tabs>
        <w:autoSpaceDE w:val="0"/>
        <w:autoSpaceDN w:val="0"/>
        <w:jc w:val="both"/>
        <w:rPr>
          <w:b/>
          <w:sz w:val="22"/>
          <w:szCs w:val="22"/>
        </w:rPr>
      </w:pPr>
    </w:p>
    <w:p w14:paraId="50D2F6FC" w14:textId="77777777" w:rsidR="00B335DD" w:rsidRPr="00032705" w:rsidRDefault="00BD3845">
      <w:pPr>
        <w:pStyle w:val="Heading1"/>
        <w:keepLines w:val="0"/>
        <w:adjustRightInd/>
        <w:spacing w:before="0"/>
        <w:rPr>
          <w:rFonts w:ascii="Times New Roman" w:hAnsi="Times New Roman" w:cs="Times New Roman"/>
          <w:b/>
          <w:color w:val="auto"/>
          <w:sz w:val="22"/>
          <w:szCs w:val="22"/>
        </w:rPr>
      </w:pPr>
      <w:r w:rsidRPr="00032705">
        <w:rPr>
          <w:rFonts w:ascii="Times New Roman" w:eastAsia="MS Gothic" w:hAnsi="Times New Roman" w:cs="Times New Roman"/>
          <w:b/>
          <w:color w:val="auto"/>
          <w:sz w:val="22"/>
          <w:szCs w:val="22"/>
        </w:rPr>
        <w:t>TAXATION</w:t>
      </w:r>
    </w:p>
    <w:p w14:paraId="485A0A72" w14:textId="77777777" w:rsidR="00B335DD" w:rsidRPr="00032705" w:rsidRDefault="00B335DD">
      <w:pPr>
        <w:keepNext/>
        <w:adjustRightInd/>
        <w:jc w:val="both"/>
        <w:rPr>
          <w:sz w:val="22"/>
          <w:szCs w:val="22"/>
        </w:rPr>
      </w:pPr>
    </w:p>
    <w:p w14:paraId="414F9CA4" w14:textId="77777777" w:rsidR="00B335DD" w:rsidRPr="00032705" w:rsidRDefault="00BD3845">
      <w:pPr>
        <w:pStyle w:val="BodyText2"/>
        <w:keepNext/>
        <w:adjustRightInd/>
        <w:rPr>
          <w:sz w:val="22"/>
          <w:szCs w:val="22"/>
        </w:rPr>
      </w:pPr>
      <w:r w:rsidRPr="00032705">
        <w:rPr>
          <w:sz w:val="22"/>
          <w:szCs w:val="22"/>
        </w:rPr>
        <w:t>Any change in the Fund’s tax status or in taxation legislation could affect the value of the investments held by the Fund and could affect the return to investors.  Potential investors and Shareholders should note that the statements on taxation, which are set out herein are based on advice which has been received by the Directors regarding the law and practice in force in the relevant jurisdiction as at the date of the Prospectus.  As is the case with any investment, there can be no guarantee that the tax position or proposed tax position prevailing at the time an investment is made in the Fund will endure indefinitely.  The attention of potential investors is drawn to the tax risk associated with investing in the Fund.  See section headed “Taxation of the ICAV” in the Prospectus.</w:t>
      </w:r>
    </w:p>
    <w:p w14:paraId="263928A1" w14:textId="77777777" w:rsidR="00B335DD" w:rsidRPr="00032705" w:rsidRDefault="00B335DD">
      <w:pPr>
        <w:pStyle w:val="BodyText2"/>
        <w:adjustRightInd/>
        <w:rPr>
          <w:sz w:val="22"/>
          <w:szCs w:val="22"/>
          <w:highlight w:val="yellow"/>
        </w:rPr>
      </w:pPr>
    </w:p>
    <w:p w14:paraId="79D87549" w14:textId="77777777" w:rsidR="00B335DD" w:rsidRPr="00032705" w:rsidRDefault="00BD3845">
      <w:pPr>
        <w:pStyle w:val="Heading1"/>
        <w:keepLines w:val="0"/>
        <w:adjustRightInd/>
        <w:spacing w:before="0"/>
        <w:rPr>
          <w:rFonts w:ascii="Times New Roman" w:hAnsi="Times New Roman" w:cs="Times New Roman"/>
          <w:b/>
          <w:color w:val="auto"/>
          <w:sz w:val="22"/>
          <w:szCs w:val="22"/>
        </w:rPr>
      </w:pPr>
      <w:r w:rsidRPr="00032705">
        <w:rPr>
          <w:rFonts w:ascii="Times New Roman" w:eastAsia="MS Gothic" w:hAnsi="Times New Roman" w:cs="Times New Roman"/>
          <w:b/>
          <w:color w:val="auto"/>
          <w:sz w:val="22"/>
          <w:szCs w:val="22"/>
        </w:rPr>
        <w:t>SUBSCRIPTIONS AND REDEMPTIONS</w:t>
      </w:r>
    </w:p>
    <w:p w14:paraId="001878B2" w14:textId="77777777" w:rsidR="00B335DD" w:rsidRPr="00032705" w:rsidRDefault="00B335DD">
      <w:pPr>
        <w:pStyle w:val="BodyText2"/>
        <w:keepNext/>
        <w:adjustRightInd/>
        <w:rPr>
          <w:sz w:val="22"/>
          <w:szCs w:val="22"/>
          <w:highlight w:val="yellow"/>
        </w:rPr>
      </w:pPr>
    </w:p>
    <w:p w14:paraId="45DAEBDA" w14:textId="77777777" w:rsidR="00B335DD" w:rsidRPr="00032705" w:rsidRDefault="00BD3845">
      <w:pPr>
        <w:pStyle w:val="BodyText2"/>
        <w:keepNext/>
        <w:adjustRightInd/>
        <w:rPr>
          <w:b/>
          <w:sz w:val="22"/>
          <w:szCs w:val="22"/>
          <w:lang w:eastAsia="en-IE"/>
        </w:rPr>
      </w:pPr>
      <w:r w:rsidRPr="00032705">
        <w:rPr>
          <w:b/>
          <w:sz w:val="22"/>
          <w:szCs w:val="22"/>
          <w:lang w:eastAsia="en-IE"/>
        </w:rPr>
        <w:t>Subscriptions and Subscription Price</w:t>
      </w:r>
    </w:p>
    <w:p w14:paraId="7A96E3F5" w14:textId="77777777" w:rsidR="00B335DD" w:rsidRPr="00032705" w:rsidRDefault="00B335DD">
      <w:pPr>
        <w:adjustRightInd/>
        <w:jc w:val="both"/>
        <w:rPr>
          <w:sz w:val="22"/>
          <w:szCs w:val="22"/>
          <w:lang w:val="en-US"/>
        </w:rPr>
      </w:pPr>
    </w:p>
    <w:p w14:paraId="09B42CB6" w14:textId="77777777" w:rsidR="00B335DD" w:rsidRPr="00032705" w:rsidRDefault="00BD3845">
      <w:pPr>
        <w:adjustRightInd/>
        <w:jc w:val="both"/>
        <w:rPr>
          <w:b/>
          <w:sz w:val="22"/>
          <w:szCs w:val="22"/>
        </w:rPr>
      </w:pPr>
      <w:r w:rsidRPr="00032705">
        <w:rPr>
          <w:sz w:val="22"/>
          <w:szCs w:val="22"/>
          <w:lang w:val="en-US"/>
        </w:rPr>
        <w:t>Monies subscribed for each Share Class during and after the relevant Initial Offer Period should be in the denominated currency of the relevant Share Class.</w:t>
      </w:r>
    </w:p>
    <w:p w14:paraId="6023FB96" w14:textId="77777777" w:rsidR="00B335DD" w:rsidRPr="00032705" w:rsidRDefault="00B335DD">
      <w:pPr>
        <w:adjustRightInd/>
        <w:jc w:val="both"/>
        <w:rPr>
          <w:b/>
          <w:sz w:val="22"/>
          <w:szCs w:val="22"/>
        </w:rPr>
      </w:pPr>
    </w:p>
    <w:p w14:paraId="5F778F8B" w14:textId="77777777" w:rsidR="00B335DD" w:rsidRPr="00032705" w:rsidRDefault="00BD3845">
      <w:pPr>
        <w:keepNext/>
        <w:adjustRightInd/>
        <w:jc w:val="both"/>
        <w:rPr>
          <w:b/>
          <w:i/>
          <w:sz w:val="22"/>
          <w:szCs w:val="22"/>
        </w:rPr>
      </w:pPr>
      <w:r w:rsidRPr="00032705">
        <w:rPr>
          <w:b/>
          <w:i/>
          <w:sz w:val="22"/>
          <w:szCs w:val="22"/>
        </w:rPr>
        <w:t>Initial Offer</w:t>
      </w:r>
    </w:p>
    <w:p w14:paraId="08CAB079" w14:textId="77777777" w:rsidR="00B335DD" w:rsidRPr="00032705" w:rsidRDefault="00B335DD">
      <w:pPr>
        <w:keepNext/>
        <w:adjustRightInd/>
        <w:jc w:val="both"/>
        <w:rPr>
          <w:sz w:val="22"/>
          <w:szCs w:val="22"/>
          <w:lang w:val="en-US"/>
        </w:rPr>
      </w:pPr>
    </w:p>
    <w:p w14:paraId="62E0D7CA" w14:textId="77777777" w:rsidR="00B335DD" w:rsidRPr="00032705" w:rsidRDefault="00BD3845">
      <w:pPr>
        <w:keepNext/>
        <w:adjustRightInd/>
        <w:jc w:val="both"/>
        <w:rPr>
          <w:sz w:val="22"/>
          <w:szCs w:val="22"/>
          <w:lang w:val="en-US"/>
        </w:rPr>
      </w:pPr>
      <w:r w:rsidRPr="00032705">
        <w:rPr>
          <w:sz w:val="22"/>
          <w:szCs w:val="22"/>
          <w:lang w:val="en-US"/>
        </w:rPr>
        <w:t xml:space="preserve">The price of Shares during the Initial Offer Period for any Share Class is set out in Appendix 1 to this Supplement. </w:t>
      </w:r>
    </w:p>
    <w:p w14:paraId="66C3454F" w14:textId="77777777" w:rsidR="00B335DD" w:rsidRPr="00032705" w:rsidRDefault="00B335DD">
      <w:pPr>
        <w:adjustRightInd/>
        <w:jc w:val="both"/>
        <w:rPr>
          <w:sz w:val="22"/>
          <w:szCs w:val="22"/>
        </w:rPr>
      </w:pPr>
    </w:p>
    <w:p w14:paraId="6C46DB3C" w14:textId="77777777" w:rsidR="00B335DD" w:rsidRPr="00032705" w:rsidRDefault="00BD3845">
      <w:pPr>
        <w:adjustRightInd/>
        <w:jc w:val="both"/>
        <w:rPr>
          <w:sz w:val="22"/>
          <w:szCs w:val="22"/>
        </w:rPr>
      </w:pPr>
      <w:r w:rsidRPr="00032705">
        <w:rPr>
          <w:sz w:val="22"/>
          <w:szCs w:val="22"/>
        </w:rPr>
        <w:t xml:space="preserve">During the Initial Offer Period investors should complete and sign the Application Form (available from the Administrator) and send it in writing, via fax or via email (or in such format or method as shall be agreed with the Administrator) with the original Application form to follow by post and supporting documentation in relation to anti-money laundering checks to follow without delay to the Administrator at its registered address to be received no later than 12 p.m. (Irish time) on the Business Day prior to the relevant Closing Date. Subscription monies must be received by the Administrator, for the account of the Fund on the relevant Closing Date.  If payment in full has not been received by the relevant times stipulated above, the application may be refused and the Shares provisionally allotted will be cancelled. </w:t>
      </w:r>
    </w:p>
    <w:p w14:paraId="75559071" w14:textId="77777777" w:rsidR="00B335DD" w:rsidRPr="00032705" w:rsidRDefault="00B335DD">
      <w:pPr>
        <w:adjustRightInd/>
        <w:jc w:val="both"/>
        <w:rPr>
          <w:sz w:val="22"/>
          <w:szCs w:val="22"/>
        </w:rPr>
      </w:pPr>
    </w:p>
    <w:p w14:paraId="6E9344CC" w14:textId="49557EF9" w:rsidR="00B335DD" w:rsidRPr="00032705" w:rsidRDefault="00BD3845">
      <w:pPr>
        <w:adjustRightInd/>
        <w:jc w:val="both"/>
        <w:rPr>
          <w:sz w:val="22"/>
          <w:szCs w:val="22"/>
        </w:rPr>
      </w:pPr>
      <w:r w:rsidRPr="00032705">
        <w:rPr>
          <w:sz w:val="22"/>
          <w:szCs w:val="22"/>
        </w:rPr>
        <w:t xml:space="preserve">For the avoidance of doubt, the Initial Offer Period commences on </w:t>
      </w:r>
      <w:r w:rsidR="00124690">
        <w:rPr>
          <w:sz w:val="22"/>
          <w:szCs w:val="22"/>
        </w:rPr>
        <w:t xml:space="preserve">the Opening Date </w:t>
      </w:r>
      <w:r w:rsidRPr="00032705">
        <w:rPr>
          <w:sz w:val="22"/>
          <w:szCs w:val="22"/>
        </w:rPr>
        <w:t xml:space="preserve">and ends on the Closing Date </w:t>
      </w:r>
      <w:r w:rsidR="00836279">
        <w:rPr>
          <w:sz w:val="22"/>
          <w:szCs w:val="22"/>
        </w:rPr>
        <w:t xml:space="preserve">both </w:t>
      </w:r>
      <w:r w:rsidRPr="00032705">
        <w:rPr>
          <w:sz w:val="22"/>
          <w:szCs w:val="22"/>
        </w:rPr>
        <w:t>referenced further under the heading “</w:t>
      </w:r>
      <w:r w:rsidR="00124690">
        <w:rPr>
          <w:sz w:val="22"/>
          <w:szCs w:val="22"/>
        </w:rPr>
        <w:t>Initial Offer Period</w:t>
      </w:r>
      <w:r w:rsidRPr="00032705">
        <w:rPr>
          <w:sz w:val="22"/>
          <w:szCs w:val="22"/>
        </w:rPr>
        <w:t>” set out in Appendix 1.</w:t>
      </w:r>
    </w:p>
    <w:p w14:paraId="22C328CB" w14:textId="77777777" w:rsidR="00BB0372" w:rsidRPr="00032705" w:rsidRDefault="00BB0372">
      <w:pPr>
        <w:adjustRightInd/>
        <w:jc w:val="both"/>
        <w:rPr>
          <w:b/>
          <w:i/>
          <w:sz w:val="22"/>
          <w:szCs w:val="22"/>
        </w:rPr>
      </w:pPr>
    </w:p>
    <w:p w14:paraId="3400AFC4" w14:textId="77777777" w:rsidR="00B335DD" w:rsidRPr="00032705" w:rsidRDefault="00BD3845">
      <w:pPr>
        <w:adjustRightInd/>
        <w:jc w:val="both"/>
        <w:rPr>
          <w:b/>
          <w:i/>
          <w:sz w:val="22"/>
          <w:szCs w:val="22"/>
        </w:rPr>
      </w:pPr>
      <w:r w:rsidRPr="00032705">
        <w:rPr>
          <w:b/>
          <w:i/>
          <w:sz w:val="22"/>
          <w:szCs w:val="22"/>
        </w:rPr>
        <w:t>Subsequent Offer</w:t>
      </w:r>
    </w:p>
    <w:p w14:paraId="1963B8A3" w14:textId="77777777" w:rsidR="00B335DD" w:rsidRPr="00032705" w:rsidRDefault="00B335DD">
      <w:pPr>
        <w:adjustRightInd/>
        <w:jc w:val="both"/>
        <w:rPr>
          <w:sz w:val="22"/>
          <w:szCs w:val="22"/>
        </w:rPr>
      </w:pPr>
    </w:p>
    <w:p w14:paraId="21AF152A" w14:textId="77777777" w:rsidR="00B335DD" w:rsidRPr="00032705" w:rsidRDefault="00BD3845">
      <w:pPr>
        <w:adjustRightInd/>
        <w:jc w:val="both"/>
        <w:rPr>
          <w:sz w:val="22"/>
          <w:szCs w:val="22"/>
          <w:lang w:val="en-US"/>
        </w:rPr>
      </w:pPr>
      <w:r w:rsidRPr="00032705">
        <w:rPr>
          <w:sz w:val="22"/>
          <w:szCs w:val="22"/>
        </w:rPr>
        <w:t>After the Initial Offer Period, Shares will be available for subscription at the referable Net Asset Value per Share of the relevant Share Class plus Duties and Charges on each Dealing Day.  The Net Asset Value per Share will be rounded up or down to the nearest four decimal places.  Applicants must subscribe the relevant Minimum Initial Investment Amount (in the case of an applicant’s first subscription into the Fund) or in the case of a Shareholder applying for further Shares, the Minimum Subsequent Investment Amount as set out herein.</w:t>
      </w:r>
    </w:p>
    <w:p w14:paraId="54CBBED4" w14:textId="77777777" w:rsidR="00B335DD" w:rsidRPr="00032705" w:rsidRDefault="00B335DD">
      <w:pPr>
        <w:adjustRightInd/>
        <w:jc w:val="both"/>
        <w:rPr>
          <w:sz w:val="22"/>
          <w:szCs w:val="22"/>
        </w:rPr>
      </w:pPr>
    </w:p>
    <w:p w14:paraId="2764AB4D" w14:textId="77777777" w:rsidR="00B335DD" w:rsidRPr="00032705" w:rsidRDefault="00BD3845">
      <w:pPr>
        <w:adjustRightInd/>
        <w:jc w:val="both"/>
        <w:rPr>
          <w:sz w:val="22"/>
          <w:szCs w:val="22"/>
        </w:rPr>
      </w:pPr>
      <w:r w:rsidRPr="00032705">
        <w:rPr>
          <w:sz w:val="22"/>
          <w:szCs w:val="22"/>
        </w:rPr>
        <w:lastRenderedPageBreak/>
        <w:t>The completed Application Form must be received in writing, via fax or via email (or in such format or method as shall be agreed with the Administrator) with the original Application Form to follow by post as soon as is possible by the Administrator at its registered address no later than the Trade Cut-Off Time.  Subscription monies must be received by the Administrator, for the account of the Fund, no later than the third Business Day following the relevant Dealing Day.  If payment in full has not been received by the relevant times stipulated above, the application may be refused and the Shares provisionally allotted will be cancelled.</w:t>
      </w:r>
    </w:p>
    <w:p w14:paraId="5C0C6C1B" w14:textId="77777777" w:rsidR="00B335DD" w:rsidRPr="00032705" w:rsidRDefault="00B335DD">
      <w:pPr>
        <w:adjustRightInd/>
        <w:jc w:val="both"/>
        <w:rPr>
          <w:sz w:val="22"/>
          <w:szCs w:val="22"/>
        </w:rPr>
      </w:pPr>
    </w:p>
    <w:p w14:paraId="639C3E6B" w14:textId="77777777" w:rsidR="00B335DD" w:rsidRPr="00032705" w:rsidRDefault="00BD3845">
      <w:pPr>
        <w:adjustRightInd/>
        <w:jc w:val="both"/>
        <w:rPr>
          <w:sz w:val="22"/>
          <w:szCs w:val="22"/>
        </w:rPr>
      </w:pPr>
      <w:r w:rsidRPr="00032705">
        <w:rPr>
          <w:sz w:val="22"/>
          <w:szCs w:val="22"/>
        </w:rPr>
        <w:t>In accordance with the UCITS Requirements and in consultation with the Administrator, subscriptions may also be accepted electronically as well as by facsimile and post.</w:t>
      </w:r>
    </w:p>
    <w:p w14:paraId="7C137D50" w14:textId="77777777" w:rsidR="00B335DD" w:rsidRPr="00032705" w:rsidRDefault="00B335DD">
      <w:pPr>
        <w:adjustRightInd/>
        <w:jc w:val="both"/>
        <w:rPr>
          <w:sz w:val="22"/>
          <w:szCs w:val="22"/>
        </w:rPr>
      </w:pPr>
    </w:p>
    <w:p w14:paraId="12BB5C3A" w14:textId="77777777" w:rsidR="00B335DD" w:rsidRPr="00032705" w:rsidRDefault="00BD3845">
      <w:pPr>
        <w:adjustRightInd/>
        <w:jc w:val="both"/>
        <w:rPr>
          <w:sz w:val="22"/>
          <w:szCs w:val="22"/>
        </w:rPr>
      </w:pPr>
      <w:r w:rsidRPr="00032705">
        <w:rPr>
          <w:sz w:val="22"/>
          <w:szCs w:val="22"/>
        </w:rPr>
        <w:t xml:space="preserve">Applications not received or incorrectly completed applications received by the Administrator by the Trade Cut-Off Time shall be, subject to the discretion of the Directors, which will be exercised only where the application has been received prior to the Valuation Point for the relevant Dealing Day, held over and applied on the next following Dealing Day or until such time as a properly completed Application Form is received by the Administrator on the date on which it is processed. The Directors in consultation with the Manager may, in exceptional circumstances, accept Application Forms after the Trade Cut-Off Time provided that they are received before the Valuation Point. The Directors will determine whether the circumstances are exceptional and the rationale for this decision will be documented.  </w:t>
      </w:r>
    </w:p>
    <w:p w14:paraId="38CDE1C8" w14:textId="77777777" w:rsidR="00B335DD" w:rsidRPr="00032705" w:rsidRDefault="00B335DD">
      <w:pPr>
        <w:adjustRightInd/>
        <w:jc w:val="both"/>
        <w:rPr>
          <w:sz w:val="22"/>
          <w:szCs w:val="22"/>
        </w:rPr>
      </w:pPr>
    </w:p>
    <w:p w14:paraId="4D5B7EC9" w14:textId="77777777" w:rsidR="00B335DD" w:rsidRPr="00032705" w:rsidRDefault="00BD3845">
      <w:pPr>
        <w:adjustRightInd/>
        <w:jc w:val="both"/>
        <w:rPr>
          <w:sz w:val="22"/>
          <w:szCs w:val="22"/>
        </w:rPr>
      </w:pPr>
      <w:r w:rsidRPr="00032705">
        <w:rPr>
          <w:sz w:val="22"/>
          <w:szCs w:val="22"/>
        </w:rPr>
        <w:t xml:space="preserve">The Directors may close the Fund or any Share Class to new subscriptions where to do so is in the best interests of the Shareholders or as they may determine at their discretion as provided for in the Prospectus.  </w:t>
      </w:r>
    </w:p>
    <w:p w14:paraId="4A1BC9A6" w14:textId="77777777" w:rsidR="00B335DD" w:rsidRPr="00032705" w:rsidRDefault="00B335DD">
      <w:pPr>
        <w:adjustRightInd/>
        <w:jc w:val="both"/>
        <w:rPr>
          <w:b/>
          <w:sz w:val="22"/>
          <w:szCs w:val="22"/>
        </w:rPr>
      </w:pPr>
    </w:p>
    <w:p w14:paraId="2713BCF9" w14:textId="77777777" w:rsidR="00B335DD" w:rsidRPr="00032705" w:rsidRDefault="00BD3845">
      <w:pPr>
        <w:keepNext/>
        <w:adjustRightInd/>
        <w:jc w:val="both"/>
        <w:rPr>
          <w:b/>
          <w:sz w:val="22"/>
          <w:szCs w:val="22"/>
        </w:rPr>
      </w:pPr>
      <w:r w:rsidRPr="00032705">
        <w:rPr>
          <w:b/>
          <w:sz w:val="22"/>
          <w:szCs w:val="22"/>
        </w:rPr>
        <w:t>Redemptions and Redemption Price</w:t>
      </w:r>
    </w:p>
    <w:p w14:paraId="3B4563DD" w14:textId="77777777" w:rsidR="00B335DD" w:rsidRPr="00032705" w:rsidRDefault="00B335DD">
      <w:pPr>
        <w:keepNext/>
        <w:adjustRightInd/>
        <w:jc w:val="both"/>
        <w:rPr>
          <w:b/>
          <w:sz w:val="22"/>
          <w:szCs w:val="22"/>
        </w:rPr>
      </w:pPr>
    </w:p>
    <w:p w14:paraId="7014F318" w14:textId="4B4E845C" w:rsidR="00B335DD" w:rsidRPr="00032705" w:rsidRDefault="00BD3845">
      <w:pPr>
        <w:keepNext/>
        <w:adjustRightInd/>
        <w:jc w:val="both"/>
        <w:rPr>
          <w:sz w:val="22"/>
          <w:szCs w:val="22"/>
        </w:rPr>
      </w:pPr>
      <w:r w:rsidRPr="00032705">
        <w:rPr>
          <w:sz w:val="22"/>
          <w:szCs w:val="22"/>
        </w:rPr>
        <w:t xml:space="preserve">Shares will be redeemable at the option of the Shareholder on each Dealing Day except in the circumstances described herein and in the Prospectus (see sections headed </w:t>
      </w:r>
      <w:r w:rsidRPr="00032705">
        <w:rPr>
          <w:i/>
          <w:sz w:val="22"/>
          <w:szCs w:val="22"/>
        </w:rPr>
        <w:t xml:space="preserve">“Redemptions” </w:t>
      </w:r>
      <w:r w:rsidRPr="00032705">
        <w:rPr>
          <w:sz w:val="22"/>
          <w:szCs w:val="22"/>
        </w:rPr>
        <w:t>in</w:t>
      </w:r>
      <w:r w:rsidRPr="00032705">
        <w:rPr>
          <w:i/>
          <w:sz w:val="22"/>
          <w:szCs w:val="22"/>
        </w:rPr>
        <w:t xml:space="preserve"> </w:t>
      </w:r>
      <w:r w:rsidRPr="00032705">
        <w:rPr>
          <w:sz w:val="22"/>
          <w:szCs w:val="22"/>
        </w:rPr>
        <w:t>the Prospectus for further details).  Shares will be redeemed at the referable Net Asset Value per Share of the relevant Share Class less any Duties and Charges and the Redemption Charge on each Dealing Day, which may be described as the Redemption Price.  The Net Asset Value per Share will be rounded up or down to the nearest four decimal places.  Requests for redemption may be made in writing via fax or via email (or in such format or method as shall be agreed with the Administrator) to the Administrator so as to be received by no later than the Trade Cut-Off Time.</w:t>
      </w:r>
    </w:p>
    <w:p w14:paraId="6EBEC971" w14:textId="77777777" w:rsidR="00B335DD" w:rsidRPr="00032705" w:rsidRDefault="00B335DD">
      <w:pPr>
        <w:adjustRightInd/>
        <w:jc w:val="both"/>
        <w:rPr>
          <w:sz w:val="22"/>
          <w:szCs w:val="22"/>
        </w:rPr>
      </w:pPr>
    </w:p>
    <w:p w14:paraId="2842D948" w14:textId="77777777" w:rsidR="00B335DD" w:rsidRPr="00032705" w:rsidRDefault="00BD3845">
      <w:pPr>
        <w:adjustRightInd/>
        <w:jc w:val="both"/>
        <w:rPr>
          <w:sz w:val="22"/>
          <w:szCs w:val="22"/>
        </w:rPr>
      </w:pPr>
      <w:r w:rsidRPr="00032705">
        <w:rPr>
          <w:sz w:val="22"/>
          <w:szCs w:val="22"/>
        </w:rPr>
        <w:t>In accordance with the UCITS Requirements and in consultation with the Administrator, redemptions may also be accepted electronically.</w:t>
      </w:r>
    </w:p>
    <w:p w14:paraId="279661EB" w14:textId="77777777" w:rsidR="00B335DD" w:rsidRPr="00032705" w:rsidRDefault="00B335DD">
      <w:pPr>
        <w:adjustRightInd/>
        <w:jc w:val="both"/>
        <w:rPr>
          <w:sz w:val="22"/>
          <w:szCs w:val="22"/>
        </w:rPr>
      </w:pPr>
    </w:p>
    <w:p w14:paraId="4F374824" w14:textId="77777777" w:rsidR="00B335DD" w:rsidRPr="00032705" w:rsidRDefault="00BD3845">
      <w:pPr>
        <w:adjustRightInd/>
        <w:jc w:val="both"/>
        <w:rPr>
          <w:sz w:val="22"/>
          <w:szCs w:val="22"/>
        </w:rPr>
      </w:pPr>
      <w:r w:rsidRPr="00032705">
        <w:rPr>
          <w:sz w:val="22"/>
          <w:szCs w:val="22"/>
        </w:rPr>
        <w:t>Redemption requests not received by this time shall be held over and applied on the next following Dealing Day.  Redemption requests for less than the Minimum Holding will be refused.  A request for a partial redemption of Shares will be refused, or the holding may be redeemed in its entirety, if, as a result of such partial redemption, the aggregate Net Asset Value of the Shares maintained by the Shareholder would be less than the Minimum Holding specified in the relevant section herein. The Directors may, in exceptional circumstances, accept redemption requests after the Trade Cut-Off Time provided that they are received before the Valuation Point for the relevant Dealing Day. The Directors will determine whether the circumstances are exceptional and the rationale for this decision will be documented.</w:t>
      </w:r>
    </w:p>
    <w:p w14:paraId="16D769C4" w14:textId="77777777" w:rsidR="00B335DD" w:rsidRPr="00032705" w:rsidRDefault="00B335DD">
      <w:pPr>
        <w:adjustRightInd/>
        <w:jc w:val="both"/>
        <w:rPr>
          <w:sz w:val="22"/>
          <w:szCs w:val="22"/>
        </w:rPr>
      </w:pPr>
    </w:p>
    <w:p w14:paraId="61015220" w14:textId="77777777" w:rsidR="00B335DD" w:rsidRPr="00032705" w:rsidRDefault="00BD3845">
      <w:pPr>
        <w:adjustRightInd/>
        <w:jc w:val="both"/>
        <w:rPr>
          <w:sz w:val="22"/>
          <w:szCs w:val="22"/>
        </w:rPr>
      </w:pPr>
      <w:r w:rsidRPr="00032705">
        <w:rPr>
          <w:sz w:val="22"/>
          <w:szCs w:val="22"/>
        </w:rPr>
        <w:t>Settlement for redemptions will normally be made by telegraphic transfer or other form of bank transfer to the bank account of the Shareholder specified in the Application Form (at the Shareholder’s risk</w:t>
      </w:r>
      <w:r w:rsidRPr="00032705">
        <w:rPr>
          <w:b/>
          <w:sz w:val="22"/>
          <w:szCs w:val="22"/>
        </w:rPr>
        <w:t xml:space="preserve">) </w:t>
      </w:r>
      <w:r w:rsidRPr="00032705">
        <w:rPr>
          <w:sz w:val="22"/>
          <w:szCs w:val="22"/>
        </w:rPr>
        <w:t xml:space="preserve">four Business Days after the relevant Dealing Day provided the Administrator is in receipt of the correct repurchase documentation, and in any event within ten Business Days of the Trade Cut-Off Time.  No payments to third parties will be effected. </w:t>
      </w:r>
    </w:p>
    <w:p w14:paraId="0AB8923C" w14:textId="77777777" w:rsidR="00B335DD" w:rsidRPr="00032705" w:rsidRDefault="00B335DD">
      <w:pPr>
        <w:adjustRightInd/>
        <w:jc w:val="both"/>
        <w:rPr>
          <w:sz w:val="22"/>
          <w:szCs w:val="22"/>
        </w:rPr>
      </w:pPr>
    </w:p>
    <w:p w14:paraId="65CEBDE5" w14:textId="77777777" w:rsidR="00B335DD" w:rsidRPr="00032705" w:rsidRDefault="00BD3845">
      <w:pPr>
        <w:adjustRightInd/>
        <w:jc w:val="both"/>
        <w:rPr>
          <w:sz w:val="22"/>
          <w:szCs w:val="22"/>
        </w:rPr>
      </w:pPr>
      <w:r w:rsidRPr="00032705">
        <w:rPr>
          <w:sz w:val="22"/>
          <w:szCs w:val="22"/>
        </w:rPr>
        <w:lastRenderedPageBreak/>
        <w:t xml:space="preserve">Redemption Proceeds will not be remitted until the Administrator has received the original Application form and all documentation required by the Administrator including any documents in connection with anti-money laundering procedures have been received.  </w:t>
      </w:r>
    </w:p>
    <w:p w14:paraId="4757D993" w14:textId="77777777" w:rsidR="00B335DD" w:rsidRPr="00032705" w:rsidRDefault="00B335DD">
      <w:pPr>
        <w:adjustRightInd/>
        <w:jc w:val="both"/>
        <w:rPr>
          <w:sz w:val="22"/>
          <w:szCs w:val="22"/>
        </w:rPr>
      </w:pPr>
    </w:p>
    <w:p w14:paraId="1042BF03" w14:textId="77777777" w:rsidR="00B335DD" w:rsidRPr="00032705" w:rsidRDefault="00BD3845">
      <w:pPr>
        <w:widowControl w:val="0"/>
        <w:adjustRightInd/>
        <w:jc w:val="both"/>
        <w:rPr>
          <w:spacing w:val="-2"/>
          <w:sz w:val="22"/>
          <w:szCs w:val="22"/>
        </w:rPr>
      </w:pPr>
      <w:r w:rsidRPr="00032705">
        <w:rPr>
          <w:sz w:val="22"/>
          <w:szCs w:val="22"/>
        </w:rPr>
        <w:t xml:space="preserve">As set out in the Prospectus, the Directors also reserve the right to the compulsory redemption of all Shares held by a Shareholder if the aggregate Net Asset Value of the Shares held by the Shareholder is less than the Minimum Holding specified in this Supplement.  </w:t>
      </w:r>
      <w:r w:rsidRPr="00032705">
        <w:rPr>
          <w:spacing w:val="-2"/>
          <w:sz w:val="22"/>
          <w:szCs w:val="22"/>
        </w:rPr>
        <w:t>Prior to any compulsory redemption of Shares, the Administrator will notify the Shareholders in writing and allow such Shareholder thirty days to purchase additional Shares to meet this minimum requirement.</w:t>
      </w:r>
    </w:p>
    <w:p w14:paraId="6BA68B10" w14:textId="77777777" w:rsidR="00B335DD" w:rsidRPr="0044148C" w:rsidRDefault="00B335DD">
      <w:pPr>
        <w:widowControl w:val="0"/>
        <w:adjustRightInd/>
        <w:jc w:val="both"/>
        <w:rPr>
          <w:spacing w:val="-2"/>
          <w:sz w:val="22"/>
        </w:rPr>
      </w:pPr>
    </w:p>
    <w:p w14:paraId="6F31CEC2" w14:textId="77777777" w:rsidR="00B335DD" w:rsidRPr="0044148C" w:rsidRDefault="00BD3845">
      <w:pPr>
        <w:widowControl w:val="0"/>
        <w:adjustRightInd/>
        <w:jc w:val="both"/>
        <w:rPr>
          <w:spacing w:val="-2"/>
          <w:sz w:val="22"/>
        </w:rPr>
      </w:pPr>
      <w:r>
        <w:rPr>
          <w:spacing w:val="-2"/>
          <w:sz w:val="22"/>
        </w:rPr>
        <w:t>The Prospectus further provides that in the event of delay or failure by an investor or applicant to produce any information required in order to verify the identity of an investor and, where applicable, the beneficial owner of an investor, the Administrator or the ICAV may refuse to accept the application and subscription monies and/or return all subscription monies or compulsorily repurchase such Shareholder's Shares and/or payment of Redemption Proceeds may be delayed (no Redemption Proceeds will be paid if the Shareholder fails to produce such information).  None of the ICAV, the Directors, the Manager or the Administrator shall be liable to the subscriber or Shareholder where an application for Shares is not processed or Shares are compulsorily repurchased or payment of repurchase proceeds is delayed in such circumstances.</w:t>
      </w:r>
    </w:p>
    <w:p w14:paraId="64D5E2AF" w14:textId="77777777" w:rsidR="00B335DD" w:rsidRPr="0044148C" w:rsidRDefault="00B335DD">
      <w:pPr>
        <w:pStyle w:val="Heading6"/>
        <w:keepNext w:val="0"/>
        <w:widowControl w:val="0"/>
        <w:rPr>
          <w:bCs w:val="0"/>
          <w:sz w:val="22"/>
          <w:szCs w:val="24"/>
        </w:rPr>
      </w:pPr>
    </w:p>
    <w:p w14:paraId="7C66374D" w14:textId="77777777" w:rsidR="00B335DD" w:rsidRPr="0044148C" w:rsidRDefault="00BD3845">
      <w:pPr>
        <w:pStyle w:val="Heading1"/>
        <w:adjustRightInd/>
        <w:spacing w:before="0"/>
        <w:rPr>
          <w:rFonts w:ascii="Times New Roman" w:hAnsi="Times New Roman" w:cs="Times New Roman"/>
          <w:b/>
          <w:color w:val="auto"/>
          <w:sz w:val="22"/>
          <w:szCs w:val="24"/>
        </w:rPr>
      </w:pPr>
      <w:r>
        <w:rPr>
          <w:rFonts w:ascii="Times New Roman" w:eastAsia="MS Gothic" w:hAnsi="Times New Roman" w:cs="Times New Roman"/>
          <w:b/>
          <w:color w:val="auto"/>
          <w:sz w:val="22"/>
          <w:szCs w:val="24"/>
        </w:rPr>
        <w:t xml:space="preserve">FEES, COSTS AND EXPENSES </w:t>
      </w:r>
    </w:p>
    <w:p w14:paraId="78647C1B" w14:textId="77777777" w:rsidR="00B335DD" w:rsidRPr="0044148C" w:rsidRDefault="00B335DD">
      <w:pPr>
        <w:keepNext/>
        <w:adjustRightInd/>
        <w:rPr>
          <w:sz w:val="22"/>
        </w:rPr>
      </w:pPr>
    </w:p>
    <w:p w14:paraId="41FA10D1" w14:textId="77777777" w:rsidR="00B335DD" w:rsidRPr="0044148C" w:rsidRDefault="00BD3845">
      <w:pPr>
        <w:pStyle w:val="Heading6"/>
        <w:widowControl w:val="0"/>
        <w:rPr>
          <w:b w:val="0"/>
          <w:bCs w:val="0"/>
          <w:sz w:val="22"/>
          <w:szCs w:val="24"/>
        </w:rPr>
      </w:pPr>
      <w:r>
        <w:rPr>
          <w:b w:val="0"/>
          <w:bCs w:val="0"/>
          <w:sz w:val="22"/>
          <w:szCs w:val="24"/>
        </w:rPr>
        <w:t>Further information on all fees and expenses payable out of the assets of the Fund are as set out in the Prospectus.</w:t>
      </w:r>
    </w:p>
    <w:p w14:paraId="31640941" w14:textId="77777777" w:rsidR="00B335DD" w:rsidRPr="0044148C" w:rsidRDefault="00B335DD">
      <w:pPr>
        <w:pStyle w:val="Heading6"/>
        <w:keepNext w:val="0"/>
        <w:widowControl w:val="0"/>
        <w:rPr>
          <w:bCs w:val="0"/>
          <w:sz w:val="22"/>
          <w:szCs w:val="24"/>
        </w:rPr>
      </w:pPr>
    </w:p>
    <w:p w14:paraId="65C3C898" w14:textId="77777777" w:rsidR="00B335DD" w:rsidRPr="0044148C" w:rsidRDefault="00BD3845">
      <w:pPr>
        <w:pStyle w:val="Heading6"/>
        <w:widowControl w:val="0"/>
        <w:rPr>
          <w:bCs w:val="0"/>
          <w:sz w:val="22"/>
          <w:szCs w:val="24"/>
        </w:rPr>
      </w:pPr>
      <w:r>
        <w:rPr>
          <w:bCs w:val="0"/>
          <w:sz w:val="22"/>
          <w:szCs w:val="24"/>
        </w:rPr>
        <w:t>Establishment Expenses</w:t>
      </w:r>
    </w:p>
    <w:p w14:paraId="22F36216" w14:textId="77777777" w:rsidR="00B335DD" w:rsidRPr="0044148C" w:rsidRDefault="00B335DD">
      <w:pPr>
        <w:keepNext/>
        <w:adjustRightInd/>
        <w:jc w:val="both"/>
        <w:rPr>
          <w:sz w:val="22"/>
        </w:rPr>
      </w:pPr>
    </w:p>
    <w:p w14:paraId="6E06AAEC" w14:textId="77777777" w:rsidR="00B335DD" w:rsidRPr="0044148C" w:rsidRDefault="00BD3845">
      <w:pPr>
        <w:keepNext/>
        <w:adjustRightInd/>
        <w:jc w:val="both"/>
        <w:rPr>
          <w:sz w:val="22"/>
        </w:rPr>
      </w:pPr>
      <w:r>
        <w:rPr>
          <w:sz w:val="22"/>
        </w:rPr>
        <w:t xml:space="preserve">The cost of establishing the ICAV and the Fund, including the expenses associated with obtaining authorisation from any authority (including, but not limited to, the Central Bank), filing fees, the preparation and printing of the Prospectus and this Supplement, marketing costs and the fees and expenses of legal counsel and other professionals involved in the establishment and initial offering of the ICAV will be borne by the ICAV and amortised over the first five years of the ICAV’s operation, on such terms and in such manner as the Directors may in their discretion determine.  The Fund may, at the absolute discretion of the Directors, be allocated such portion of the establishment expenses of the ICAV, as the Directors consider to be fair in the circumstances.    </w:t>
      </w:r>
    </w:p>
    <w:p w14:paraId="10D82423" w14:textId="77777777" w:rsidR="00301C40" w:rsidRPr="0044148C" w:rsidRDefault="00301C40">
      <w:pPr>
        <w:autoSpaceDE w:val="0"/>
        <w:autoSpaceDN w:val="0"/>
        <w:jc w:val="both"/>
        <w:rPr>
          <w:sz w:val="22"/>
          <w:lang w:val="en-US" w:eastAsia="en-IE"/>
        </w:rPr>
      </w:pPr>
    </w:p>
    <w:p w14:paraId="4EEF04B1" w14:textId="77777777" w:rsidR="00301C40" w:rsidRPr="0044148C" w:rsidRDefault="00301C40" w:rsidP="00301C40">
      <w:pPr>
        <w:autoSpaceDE w:val="0"/>
        <w:autoSpaceDN w:val="0"/>
        <w:jc w:val="both"/>
        <w:rPr>
          <w:b/>
          <w:sz w:val="22"/>
          <w:lang w:val="en-US"/>
        </w:rPr>
      </w:pPr>
      <w:r>
        <w:rPr>
          <w:b/>
          <w:sz w:val="22"/>
          <w:lang w:val="en-US"/>
        </w:rPr>
        <w:t>Management Fee</w:t>
      </w:r>
    </w:p>
    <w:p w14:paraId="4293DA0F" w14:textId="77777777" w:rsidR="00301C40" w:rsidRPr="0044148C" w:rsidRDefault="00301C40" w:rsidP="00301C40">
      <w:pPr>
        <w:autoSpaceDE w:val="0"/>
        <w:autoSpaceDN w:val="0"/>
        <w:jc w:val="both"/>
        <w:rPr>
          <w:b/>
          <w:sz w:val="22"/>
          <w:lang w:val="en-US"/>
        </w:rPr>
      </w:pPr>
    </w:p>
    <w:p w14:paraId="3D215089" w14:textId="77777777" w:rsidR="00301C40" w:rsidRPr="0044148C" w:rsidRDefault="00301C40" w:rsidP="00301C40">
      <w:pPr>
        <w:autoSpaceDE w:val="0"/>
        <w:autoSpaceDN w:val="0"/>
        <w:jc w:val="both"/>
        <w:rPr>
          <w:sz w:val="22"/>
          <w:lang w:val="en-US"/>
        </w:rPr>
      </w:pPr>
      <w:r>
        <w:rPr>
          <w:sz w:val="22"/>
          <w:lang w:val="en-US"/>
        </w:rPr>
        <w:t xml:space="preserve">The Fund shall be responsible for its attributable portion of the fees payable to the Manager.  The Manager shall be entitled to receive out of the assets of the Fund an annual fee of </w:t>
      </w:r>
    </w:p>
    <w:p w14:paraId="421B5E81" w14:textId="77777777" w:rsidR="00301C40" w:rsidRPr="0044148C" w:rsidRDefault="00301C40" w:rsidP="00301C40">
      <w:pPr>
        <w:autoSpaceDE w:val="0"/>
        <w:autoSpaceDN w:val="0"/>
        <w:jc w:val="both"/>
        <w:rPr>
          <w:sz w:val="22"/>
          <w:lang w:val="en-US"/>
        </w:rPr>
      </w:pPr>
    </w:p>
    <w:p w14:paraId="2F054053" w14:textId="77777777" w:rsidR="00301C40" w:rsidRPr="0044148C" w:rsidRDefault="00301C40" w:rsidP="00301C40">
      <w:pPr>
        <w:numPr>
          <w:ilvl w:val="0"/>
          <w:numId w:val="6"/>
        </w:numPr>
        <w:autoSpaceDE w:val="0"/>
        <w:autoSpaceDN w:val="0"/>
        <w:jc w:val="both"/>
        <w:rPr>
          <w:sz w:val="22"/>
          <w:lang w:val="en-US"/>
        </w:rPr>
      </w:pPr>
      <w:r>
        <w:rPr>
          <w:sz w:val="22"/>
          <w:lang w:val="en-US"/>
        </w:rPr>
        <w:t xml:space="preserve">0.05% of the Net Asset Value of the Fund where the Net Asset Value of the Fund is less than or equal to €200,000,000; and </w:t>
      </w:r>
    </w:p>
    <w:p w14:paraId="7781723C" w14:textId="77777777" w:rsidR="00301C40" w:rsidRPr="0044148C" w:rsidRDefault="00301C40" w:rsidP="00301C40">
      <w:pPr>
        <w:autoSpaceDE w:val="0"/>
        <w:autoSpaceDN w:val="0"/>
        <w:ind w:left="360"/>
        <w:contextualSpacing/>
        <w:jc w:val="both"/>
        <w:rPr>
          <w:sz w:val="22"/>
          <w:lang w:val="en-US"/>
        </w:rPr>
      </w:pPr>
    </w:p>
    <w:p w14:paraId="3C086FF1" w14:textId="77777777" w:rsidR="00301C40" w:rsidRPr="0044148C" w:rsidRDefault="00301C40" w:rsidP="00301C40">
      <w:pPr>
        <w:numPr>
          <w:ilvl w:val="0"/>
          <w:numId w:val="6"/>
        </w:numPr>
        <w:autoSpaceDE w:val="0"/>
        <w:autoSpaceDN w:val="0"/>
        <w:jc w:val="both"/>
        <w:rPr>
          <w:sz w:val="22"/>
          <w:lang w:val="en-US"/>
        </w:rPr>
      </w:pPr>
      <w:r>
        <w:rPr>
          <w:sz w:val="22"/>
          <w:lang w:val="en-US"/>
        </w:rPr>
        <w:t>0.03% of the Net Asset Value of the Fund where the Net Asset Value of the Fund is in excess of €200,000,000.</w:t>
      </w:r>
    </w:p>
    <w:p w14:paraId="2ABB4C0A" w14:textId="77777777" w:rsidR="00301C40" w:rsidRPr="0044148C" w:rsidRDefault="00301C40" w:rsidP="00301C40">
      <w:pPr>
        <w:adjustRightInd/>
        <w:ind w:left="720"/>
        <w:rPr>
          <w:sz w:val="22"/>
          <w:lang w:val="en-US" w:eastAsia="en-IE"/>
        </w:rPr>
      </w:pPr>
    </w:p>
    <w:p w14:paraId="6E60ED27" w14:textId="77777777" w:rsidR="00301C40" w:rsidRPr="0044148C" w:rsidRDefault="00301C40" w:rsidP="00301C40">
      <w:pPr>
        <w:autoSpaceDE w:val="0"/>
        <w:autoSpaceDN w:val="0"/>
        <w:jc w:val="both"/>
        <w:rPr>
          <w:sz w:val="22"/>
          <w:lang w:val="en-US" w:eastAsia="en-IE"/>
        </w:rPr>
      </w:pPr>
      <w:r>
        <w:rPr>
          <w:sz w:val="22"/>
          <w:lang w:val="en-US" w:eastAsia="en-IE"/>
        </w:rPr>
        <w:t>Such fees shall accrue monthly and be payable monthly in arrears</w:t>
      </w:r>
      <w:r>
        <w:t xml:space="preserve">, </w:t>
      </w:r>
      <w:r>
        <w:rPr>
          <w:sz w:val="22"/>
          <w:lang w:val="en-US" w:eastAsia="en-IE"/>
        </w:rPr>
        <w:t>subject to minimum monthly fee of €4,150.00.</w:t>
      </w:r>
    </w:p>
    <w:p w14:paraId="1776E2FD" w14:textId="77777777" w:rsidR="00301C40" w:rsidRPr="0044148C" w:rsidRDefault="00301C40" w:rsidP="00301C40">
      <w:pPr>
        <w:autoSpaceDE w:val="0"/>
        <w:autoSpaceDN w:val="0"/>
        <w:jc w:val="both"/>
        <w:rPr>
          <w:sz w:val="22"/>
          <w:lang w:val="en-US" w:eastAsia="en-IE"/>
        </w:rPr>
      </w:pPr>
    </w:p>
    <w:p w14:paraId="46EEB417" w14:textId="77777777" w:rsidR="00301C40" w:rsidRPr="0044148C" w:rsidRDefault="00301C40" w:rsidP="00301C40">
      <w:pPr>
        <w:autoSpaceDE w:val="0"/>
        <w:autoSpaceDN w:val="0"/>
        <w:jc w:val="both"/>
        <w:rPr>
          <w:sz w:val="22"/>
          <w:lang w:val="en-US" w:eastAsia="en-IE"/>
        </w:rPr>
      </w:pPr>
      <w:r>
        <w:rPr>
          <w:sz w:val="22"/>
          <w:lang w:val="en-US" w:eastAsia="en-IE"/>
        </w:rPr>
        <w:t>The Manager shall also be entitled to be reimbursed for its reasonable and properly vouched out-of-pocket expenses, payable out of the assets of the Fund (with value added tax thereon if applicable).</w:t>
      </w:r>
    </w:p>
    <w:p w14:paraId="4E7FA854" w14:textId="77777777" w:rsidR="00B166D1" w:rsidRPr="0044148C" w:rsidRDefault="00B166D1">
      <w:pPr>
        <w:autoSpaceDE w:val="0"/>
        <w:autoSpaceDN w:val="0"/>
        <w:jc w:val="both"/>
        <w:rPr>
          <w:sz w:val="22"/>
          <w:lang w:val="en-US" w:eastAsia="en-IE"/>
        </w:rPr>
      </w:pPr>
    </w:p>
    <w:p w14:paraId="71975F9C" w14:textId="77777777" w:rsidR="008733AB" w:rsidRPr="0044148C" w:rsidRDefault="008733AB" w:rsidP="009E65A1">
      <w:pPr>
        <w:keepNext/>
        <w:autoSpaceDE w:val="0"/>
        <w:autoSpaceDN w:val="0"/>
        <w:jc w:val="both"/>
        <w:rPr>
          <w:b/>
          <w:sz w:val="22"/>
          <w:lang w:val="en-US"/>
        </w:rPr>
      </w:pPr>
      <w:r>
        <w:rPr>
          <w:b/>
          <w:sz w:val="22"/>
          <w:lang w:val="en-US"/>
        </w:rPr>
        <w:lastRenderedPageBreak/>
        <w:t>Administration Fees</w:t>
      </w:r>
    </w:p>
    <w:p w14:paraId="573BD749" w14:textId="77777777" w:rsidR="008733AB" w:rsidRPr="0044148C" w:rsidRDefault="008733AB" w:rsidP="009E65A1">
      <w:pPr>
        <w:keepNext/>
        <w:autoSpaceDE w:val="0"/>
        <w:autoSpaceDN w:val="0"/>
        <w:jc w:val="both"/>
        <w:rPr>
          <w:sz w:val="22"/>
          <w:lang w:val="en-US"/>
        </w:rPr>
      </w:pPr>
    </w:p>
    <w:p w14:paraId="2DBEEFDA" w14:textId="77777777" w:rsidR="008733AB" w:rsidRPr="0044148C" w:rsidRDefault="008733AB" w:rsidP="009E65A1">
      <w:pPr>
        <w:keepNext/>
        <w:autoSpaceDE w:val="0"/>
        <w:autoSpaceDN w:val="0"/>
        <w:jc w:val="both"/>
        <w:rPr>
          <w:sz w:val="22"/>
          <w:lang w:val="en-US"/>
        </w:rPr>
      </w:pPr>
      <w:r>
        <w:rPr>
          <w:sz w:val="22"/>
          <w:lang w:val="en-US"/>
        </w:rPr>
        <w:t>The Administrator shall be entitled to receive (with value added tax thereon, if applicable) the greater of:</w:t>
      </w:r>
    </w:p>
    <w:p w14:paraId="110439FE" w14:textId="77777777" w:rsidR="008733AB" w:rsidRPr="0044148C" w:rsidRDefault="008733AB" w:rsidP="009E65A1">
      <w:pPr>
        <w:keepNext/>
        <w:autoSpaceDE w:val="0"/>
        <w:autoSpaceDN w:val="0"/>
        <w:jc w:val="both"/>
        <w:rPr>
          <w:sz w:val="22"/>
          <w:lang w:val="en-US"/>
        </w:rPr>
      </w:pPr>
    </w:p>
    <w:p w14:paraId="6A3176CC" w14:textId="77777777" w:rsidR="008733AB" w:rsidRPr="0044148C" w:rsidRDefault="008733AB" w:rsidP="009E65A1">
      <w:pPr>
        <w:keepNext/>
        <w:numPr>
          <w:ilvl w:val="0"/>
          <w:numId w:val="7"/>
        </w:numPr>
        <w:autoSpaceDE w:val="0"/>
        <w:autoSpaceDN w:val="0"/>
        <w:jc w:val="both"/>
        <w:rPr>
          <w:sz w:val="22"/>
          <w:lang w:val="en-US"/>
        </w:rPr>
      </w:pPr>
      <w:r>
        <w:rPr>
          <w:sz w:val="22"/>
          <w:lang w:val="en-US"/>
        </w:rPr>
        <w:t>a minimum annual fee of $48,000; or</w:t>
      </w:r>
    </w:p>
    <w:p w14:paraId="06A772CA" w14:textId="77777777" w:rsidR="008733AB" w:rsidRPr="0044148C" w:rsidRDefault="008733AB" w:rsidP="009E65A1">
      <w:pPr>
        <w:keepNext/>
        <w:autoSpaceDE w:val="0"/>
        <w:autoSpaceDN w:val="0"/>
        <w:jc w:val="both"/>
        <w:rPr>
          <w:sz w:val="22"/>
          <w:lang w:val="en-US"/>
        </w:rPr>
      </w:pPr>
    </w:p>
    <w:p w14:paraId="60EB5A77" w14:textId="77777777" w:rsidR="008733AB" w:rsidRPr="0044148C" w:rsidRDefault="008733AB" w:rsidP="009E65A1">
      <w:pPr>
        <w:keepNext/>
        <w:numPr>
          <w:ilvl w:val="0"/>
          <w:numId w:val="7"/>
        </w:numPr>
        <w:autoSpaceDE w:val="0"/>
        <w:autoSpaceDN w:val="0"/>
        <w:jc w:val="both"/>
        <w:rPr>
          <w:sz w:val="22"/>
          <w:lang w:val="en-US"/>
        </w:rPr>
      </w:pPr>
      <w:r>
        <w:rPr>
          <w:sz w:val="22"/>
          <w:lang w:val="en-US"/>
        </w:rPr>
        <w:t>a fee representing the aggregate of:</w:t>
      </w:r>
    </w:p>
    <w:p w14:paraId="3FFA7214" w14:textId="77777777" w:rsidR="008733AB" w:rsidRPr="0044148C" w:rsidRDefault="008733AB" w:rsidP="009E65A1">
      <w:pPr>
        <w:keepNext/>
        <w:adjustRightInd/>
        <w:ind w:left="720"/>
        <w:rPr>
          <w:sz w:val="22"/>
          <w:lang w:val="en-US"/>
        </w:rPr>
      </w:pPr>
    </w:p>
    <w:p w14:paraId="05F743DC" w14:textId="77777777" w:rsidR="008733AB" w:rsidRPr="0044148C" w:rsidRDefault="008733AB" w:rsidP="009E65A1">
      <w:pPr>
        <w:keepNext/>
        <w:numPr>
          <w:ilvl w:val="2"/>
          <w:numId w:val="5"/>
        </w:numPr>
        <w:tabs>
          <w:tab w:val="clear" w:pos="2160"/>
          <w:tab w:val="left" w:pos="1560"/>
        </w:tabs>
        <w:spacing w:after="220"/>
        <w:ind w:left="1560" w:hanging="709"/>
        <w:jc w:val="both"/>
        <w:outlineLvl w:val="2"/>
        <w:rPr>
          <w:sz w:val="22"/>
          <w:lang w:val="en-IE" w:eastAsia="en-IE"/>
        </w:rPr>
      </w:pPr>
      <w:r>
        <w:rPr>
          <w:sz w:val="22"/>
          <w:lang w:val="en-IE" w:eastAsia="en-IE"/>
        </w:rPr>
        <w:t>0.05% of the Net Asset Value of the Fund up to $200,000,000; and</w:t>
      </w:r>
    </w:p>
    <w:p w14:paraId="79F2F32F" w14:textId="77777777" w:rsidR="008733AB" w:rsidRPr="0044148C" w:rsidRDefault="008733AB" w:rsidP="009E65A1">
      <w:pPr>
        <w:keepNext/>
        <w:numPr>
          <w:ilvl w:val="2"/>
          <w:numId w:val="5"/>
        </w:numPr>
        <w:tabs>
          <w:tab w:val="clear" w:pos="2160"/>
          <w:tab w:val="left" w:pos="1560"/>
        </w:tabs>
        <w:spacing w:after="220"/>
        <w:ind w:left="1560" w:hanging="709"/>
        <w:jc w:val="both"/>
        <w:outlineLvl w:val="2"/>
        <w:rPr>
          <w:sz w:val="22"/>
          <w:lang w:val="en-IE" w:eastAsia="en-IE"/>
        </w:rPr>
      </w:pPr>
      <w:r>
        <w:rPr>
          <w:sz w:val="22"/>
          <w:lang w:val="en-IE" w:eastAsia="en-IE"/>
        </w:rPr>
        <w:t>0.03% of the Net Asset Value of the Fund between $200,000,000 and $400,000,000; and</w:t>
      </w:r>
    </w:p>
    <w:p w14:paraId="78684EFA" w14:textId="77777777" w:rsidR="008733AB" w:rsidRPr="0044148C" w:rsidRDefault="008733AB" w:rsidP="009E65A1">
      <w:pPr>
        <w:keepNext/>
        <w:numPr>
          <w:ilvl w:val="2"/>
          <w:numId w:val="5"/>
        </w:numPr>
        <w:tabs>
          <w:tab w:val="clear" w:pos="2160"/>
          <w:tab w:val="left" w:pos="1560"/>
        </w:tabs>
        <w:spacing w:after="220"/>
        <w:ind w:left="1560" w:hanging="709"/>
        <w:jc w:val="both"/>
        <w:outlineLvl w:val="2"/>
        <w:rPr>
          <w:sz w:val="22"/>
          <w:lang w:val="en-IE" w:eastAsia="en-IE"/>
        </w:rPr>
      </w:pPr>
      <w:r>
        <w:rPr>
          <w:sz w:val="22"/>
          <w:lang w:val="en-IE" w:eastAsia="en-IE"/>
        </w:rPr>
        <w:t>0.015% of the Net Asset Value in excess of $400,000,000.</w:t>
      </w:r>
    </w:p>
    <w:p w14:paraId="54AAC53B" w14:textId="77777777" w:rsidR="008733AB" w:rsidRPr="0044148C" w:rsidRDefault="008733AB" w:rsidP="009E65A1">
      <w:pPr>
        <w:keepNext/>
        <w:autoSpaceDE w:val="0"/>
        <w:autoSpaceDN w:val="0"/>
        <w:jc w:val="both"/>
        <w:rPr>
          <w:sz w:val="22"/>
          <w:lang w:val="en-US"/>
        </w:rPr>
      </w:pPr>
      <w:r>
        <w:rPr>
          <w:sz w:val="22"/>
          <w:lang w:val="en-US"/>
        </w:rPr>
        <w:t>Such fees shall accrue daily and be payable monthly in arrears.</w:t>
      </w:r>
    </w:p>
    <w:p w14:paraId="365D3E61" w14:textId="77777777" w:rsidR="008733AB" w:rsidRPr="0044148C" w:rsidRDefault="008733AB" w:rsidP="009E65A1">
      <w:pPr>
        <w:keepNext/>
        <w:autoSpaceDE w:val="0"/>
        <w:autoSpaceDN w:val="0"/>
        <w:jc w:val="both"/>
        <w:rPr>
          <w:sz w:val="22"/>
          <w:lang w:val="en-US"/>
        </w:rPr>
      </w:pPr>
    </w:p>
    <w:p w14:paraId="322ECFD4" w14:textId="77777777" w:rsidR="008733AB" w:rsidRPr="0044148C" w:rsidRDefault="008733AB" w:rsidP="009E65A1">
      <w:pPr>
        <w:keepNext/>
        <w:autoSpaceDE w:val="0"/>
        <w:autoSpaceDN w:val="0"/>
        <w:jc w:val="both"/>
        <w:rPr>
          <w:sz w:val="22"/>
          <w:lang w:val="en-US"/>
        </w:rPr>
      </w:pPr>
      <w:r>
        <w:rPr>
          <w:sz w:val="22"/>
          <w:lang w:val="en-US"/>
        </w:rPr>
        <w:t>The Administrator shall also be entitled to be reimbursed for its reasonable and properly vouched out-of-pocket expenses, payable out of the assets of the Fund (with value added tax thereon if applicable).</w:t>
      </w:r>
    </w:p>
    <w:p w14:paraId="48E7C185" w14:textId="77777777" w:rsidR="00B335DD" w:rsidRPr="0044148C" w:rsidRDefault="00B335DD">
      <w:pPr>
        <w:autoSpaceDE w:val="0"/>
        <w:autoSpaceDN w:val="0"/>
        <w:jc w:val="both"/>
        <w:rPr>
          <w:sz w:val="22"/>
          <w:lang w:val="en-US"/>
        </w:rPr>
      </w:pPr>
    </w:p>
    <w:p w14:paraId="7DF7EC6C" w14:textId="77777777" w:rsidR="00B166D1" w:rsidRPr="0044148C" w:rsidRDefault="00B166D1" w:rsidP="00B166D1">
      <w:pPr>
        <w:keepNext/>
        <w:autoSpaceDE w:val="0"/>
        <w:autoSpaceDN w:val="0"/>
        <w:jc w:val="both"/>
        <w:rPr>
          <w:b/>
          <w:sz w:val="22"/>
          <w:lang w:val="en-US"/>
        </w:rPr>
      </w:pPr>
      <w:r>
        <w:rPr>
          <w:b/>
          <w:sz w:val="22"/>
          <w:lang w:val="en-US"/>
        </w:rPr>
        <w:t>Depositary Fees</w:t>
      </w:r>
    </w:p>
    <w:p w14:paraId="2B35D4A9" w14:textId="77777777" w:rsidR="00B166D1" w:rsidRPr="0044148C" w:rsidRDefault="00B166D1" w:rsidP="00B166D1">
      <w:pPr>
        <w:keepNext/>
        <w:autoSpaceDE w:val="0"/>
        <w:autoSpaceDN w:val="0"/>
        <w:jc w:val="both"/>
        <w:rPr>
          <w:b/>
          <w:sz w:val="22"/>
          <w:lang w:val="en-US"/>
        </w:rPr>
      </w:pPr>
    </w:p>
    <w:p w14:paraId="4B2C20C0" w14:textId="77777777" w:rsidR="00B166D1" w:rsidRPr="0044148C" w:rsidRDefault="00B166D1" w:rsidP="00B166D1">
      <w:pPr>
        <w:autoSpaceDE w:val="0"/>
        <w:autoSpaceDN w:val="0"/>
        <w:jc w:val="both"/>
        <w:rPr>
          <w:sz w:val="22"/>
          <w:lang w:val="en-US" w:eastAsia="en-IE"/>
        </w:rPr>
      </w:pPr>
      <w:r>
        <w:rPr>
          <w:sz w:val="22"/>
          <w:lang w:val="en-US" w:eastAsia="en-IE"/>
        </w:rPr>
        <w:t>The Depositary shall be entitled to receive (with value added tax thereon, if applicable) an annual fee of:</w:t>
      </w:r>
    </w:p>
    <w:p w14:paraId="76F138EB" w14:textId="77777777" w:rsidR="00B166D1" w:rsidRPr="0044148C" w:rsidRDefault="00B166D1" w:rsidP="00B166D1">
      <w:pPr>
        <w:autoSpaceDE w:val="0"/>
        <w:autoSpaceDN w:val="0"/>
        <w:jc w:val="both"/>
        <w:rPr>
          <w:sz w:val="22"/>
          <w:lang w:val="en-US" w:eastAsia="en-IE"/>
        </w:rPr>
      </w:pPr>
    </w:p>
    <w:p w14:paraId="1F21810A" w14:textId="77777777" w:rsidR="00B166D1" w:rsidRPr="0044148C" w:rsidRDefault="00B166D1" w:rsidP="001169B9">
      <w:pPr>
        <w:numPr>
          <w:ilvl w:val="0"/>
          <w:numId w:val="8"/>
        </w:numPr>
        <w:autoSpaceDE w:val="0"/>
        <w:autoSpaceDN w:val="0"/>
        <w:contextualSpacing/>
        <w:jc w:val="both"/>
        <w:rPr>
          <w:sz w:val="22"/>
          <w:lang w:val="en-US" w:eastAsia="en-IE"/>
        </w:rPr>
      </w:pPr>
      <w:r>
        <w:rPr>
          <w:sz w:val="22"/>
          <w:lang w:val="en-US" w:eastAsia="en-IE"/>
        </w:rPr>
        <w:t>0.025% of the Net Asset Value of the Fund up to $200,000,000; and</w:t>
      </w:r>
    </w:p>
    <w:p w14:paraId="6360253D" w14:textId="77777777" w:rsidR="00B166D1" w:rsidRPr="0044148C" w:rsidRDefault="00B166D1" w:rsidP="00B166D1">
      <w:pPr>
        <w:autoSpaceDE w:val="0"/>
        <w:autoSpaceDN w:val="0"/>
        <w:ind w:left="360"/>
        <w:contextualSpacing/>
        <w:jc w:val="both"/>
        <w:rPr>
          <w:sz w:val="22"/>
          <w:lang w:val="en-US" w:eastAsia="en-IE"/>
        </w:rPr>
      </w:pPr>
    </w:p>
    <w:p w14:paraId="7A816F5F" w14:textId="7184624F" w:rsidR="00B166D1" w:rsidRPr="0044148C" w:rsidRDefault="00B166D1" w:rsidP="001169B9">
      <w:pPr>
        <w:numPr>
          <w:ilvl w:val="0"/>
          <w:numId w:val="8"/>
        </w:numPr>
        <w:autoSpaceDE w:val="0"/>
        <w:autoSpaceDN w:val="0"/>
        <w:contextualSpacing/>
        <w:jc w:val="both"/>
        <w:rPr>
          <w:sz w:val="22"/>
          <w:lang w:val="en-US" w:eastAsia="en-IE"/>
        </w:rPr>
      </w:pPr>
      <w:r>
        <w:rPr>
          <w:sz w:val="22"/>
          <w:lang w:val="en-US" w:eastAsia="en-IE"/>
        </w:rPr>
        <w:t>0.015% of the Net Asset Value of the Fund in excess of $200,000,000</w:t>
      </w:r>
      <w:r w:rsidR="00B3178A">
        <w:rPr>
          <w:sz w:val="22"/>
          <w:lang w:val="en-US" w:eastAsia="en-IE"/>
        </w:rPr>
        <w:t>;</w:t>
      </w:r>
    </w:p>
    <w:p w14:paraId="529A8406" w14:textId="77777777" w:rsidR="00B166D1" w:rsidRPr="0044148C" w:rsidRDefault="00B166D1" w:rsidP="00B166D1">
      <w:pPr>
        <w:adjustRightInd/>
        <w:ind w:left="720"/>
        <w:rPr>
          <w:sz w:val="22"/>
          <w:lang w:val="en-US" w:eastAsia="en-IE"/>
        </w:rPr>
      </w:pPr>
    </w:p>
    <w:p w14:paraId="0CC7C568" w14:textId="2F1F4AF9" w:rsidR="00B166D1" w:rsidRPr="0044148C" w:rsidRDefault="00781DA9" w:rsidP="00B166D1">
      <w:pPr>
        <w:autoSpaceDE w:val="0"/>
        <w:autoSpaceDN w:val="0"/>
        <w:ind w:left="720"/>
        <w:contextualSpacing/>
        <w:jc w:val="both"/>
        <w:rPr>
          <w:sz w:val="22"/>
          <w:lang w:val="en-US" w:eastAsia="en-IE"/>
        </w:rPr>
      </w:pPr>
      <w:r>
        <w:rPr>
          <w:sz w:val="22"/>
          <w:lang w:val="en-IE" w:eastAsia="en-IE"/>
        </w:rPr>
        <w:t>subject to a minimum depositary fee of $32,000 per annum in respect of the Fund</w:t>
      </w:r>
      <w:r>
        <w:rPr>
          <w:sz w:val="22"/>
          <w:lang w:val="en-US" w:eastAsia="en-IE"/>
        </w:rPr>
        <w:t>.</w:t>
      </w:r>
    </w:p>
    <w:p w14:paraId="66ECD77C" w14:textId="77777777" w:rsidR="00B166D1" w:rsidRPr="0044148C" w:rsidRDefault="00B166D1" w:rsidP="00B166D1">
      <w:pPr>
        <w:keepNext/>
        <w:autoSpaceDE w:val="0"/>
        <w:autoSpaceDN w:val="0"/>
        <w:jc w:val="both"/>
        <w:rPr>
          <w:sz w:val="22"/>
          <w:lang w:val="en-US" w:eastAsia="en-IE"/>
        </w:rPr>
      </w:pPr>
    </w:p>
    <w:p w14:paraId="27138C6F" w14:textId="77777777" w:rsidR="00B166D1" w:rsidRPr="0044148C" w:rsidRDefault="00B166D1" w:rsidP="00B166D1">
      <w:pPr>
        <w:keepNext/>
        <w:autoSpaceDE w:val="0"/>
        <w:autoSpaceDN w:val="0"/>
        <w:jc w:val="both"/>
        <w:rPr>
          <w:sz w:val="22"/>
          <w:lang w:val="en-US" w:eastAsia="en-IE"/>
        </w:rPr>
      </w:pPr>
      <w:r>
        <w:rPr>
          <w:sz w:val="22"/>
          <w:lang w:val="en-US" w:eastAsia="en-IE"/>
        </w:rPr>
        <w:t>The Depositary shall also be entitled to be repaid out of the assets of the Fund for all of its reasonable disbursements incurred on behalf of the Fund, including the safe-keeping fees and expenses of any sub-custodian (which shall be at normal commercial rates) and transaction charges (which shall also be at normal commercial rates) levied by the Depositary or any sub-custodian and any applicable taxes it incurs on behalf of the Fund. Such custody fees shall accrue and be payable monthly in arrears.</w:t>
      </w:r>
    </w:p>
    <w:p w14:paraId="33FF56BE" w14:textId="77777777" w:rsidR="00B335DD" w:rsidRPr="0044148C" w:rsidRDefault="00B335DD">
      <w:pPr>
        <w:autoSpaceDE w:val="0"/>
        <w:autoSpaceDN w:val="0"/>
        <w:jc w:val="both"/>
        <w:rPr>
          <w:sz w:val="22"/>
          <w:lang w:val="en-US" w:eastAsia="en-IE"/>
        </w:rPr>
      </w:pPr>
    </w:p>
    <w:p w14:paraId="65AF7763" w14:textId="77777777" w:rsidR="00B335DD" w:rsidRPr="0044148C" w:rsidRDefault="00BD3845">
      <w:pPr>
        <w:autoSpaceDE w:val="0"/>
        <w:autoSpaceDN w:val="0"/>
        <w:jc w:val="both"/>
        <w:rPr>
          <w:b/>
          <w:sz w:val="22"/>
          <w:lang w:val="en-US"/>
        </w:rPr>
      </w:pPr>
      <w:r>
        <w:rPr>
          <w:b/>
          <w:sz w:val="22"/>
          <w:lang w:val="en-US"/>
        </w:rPr>
        <w:t>Investment Management Fee</w:t>
      </w:r>
    </w:p>
    <w:p w14:paraId="1783EBEE" w14:textId="77777777" w:rsidR="00B335DD" w:rsidRPr="0044148C" w:rsidRDefault="00B335DD">
      <w:pPr>
        <w:autoSpaceDE w:val="0"/>
        <w:autoSpaceDN w:val="0"/>
        <w:jc w:val="both"/>
        <w:rPr>
          <w:sz w:val="22"/>
          <w:lang w:val="en-US"/>
        </w:rPr>
      </w:pPr>
    </w:p>
    <w:p w14:paraId="15FC804E" w14:textId="15FD2498" w:rsidR="00F62273" w:rsidRDefault="00BD3845" w:rsidP="009C5D70">
      <w:pPr>
        <w:autoSpaceDE w:val="0"/>
        <w:autoSpaceDN w:val="0"/>
        <w:jc w:val="both"/>
        <w:rPr>
          <w:sz w:val="22"/>
        </w:rPr>
      </w:pPr>
      <w:r>
        <w:rPr>
          <w:sz w:val="22"/>
          <w:lang w:val="en-US"/>
        </w:rPr>
        <w:t xml:space="preserve">The Investment Manager shall receive an annual fee of up to </w:t>
      </w:r>
      <w:bookmarkStart w:id="2" w:name="_cp_text_4_6"/>
      <w:r w:rsidR="00F62273">
        <w:rPr>
          <w:sz w:val="22"/>
          <w:lang w:val="en-US"/>
        </w:rPr>
        <w:t>the percentage</w:t>
      </w:r>
      <w:r>
        <w:rPr>
          <w:sz w:val="22"/>
          <w:lang w:val="en-US"/>
        </w:rPr>
        <w:t xml:space="preserve"> </w:t>
      </w:r>
      <w:r>
        <w:rPr>
          <w:sz w:val="22"/>
        </w:rPr>
        <w:t xml:space="preserve">of the Net Asset Value </w:t>
      </w:r>
      <w:r w:rsidR="00F62273">
        <w:rPr>
          <w:sz w:val="22"/>
        </w:rPr>
        <w:t>per Share Class in the Fund as follows:</w:t>
      </w:r>
    </w:p>
    <w:p w14:paraId="3A9E2273" w14:textId="77777777" w:rsidR="00F62273" w:rsidRDefault="00F62273" w:rsidP="009C5D70">
      <w:pPr>
        <w:autoSpaceDE w:val="0"/>
        <w:autoSpaceDN w:val="0"/>
        <w:jc w:val="both"/>
        <w:rPr>
          <w:sz w:val="22"/>
        </w:rPr>
      </w:pPr>
    </w:p>
    <w:p w14:paraId="01CEC5C9" w14:textId="6B134ABB" w:rsidR="00F62273" w:rsidRDefault="00F62273" w:rsidP="00F62273">
      <w:pPr>
        <w:pStyle w:val="ListParagraph"/>
        <w:numPr>
          <w:ilvl w:val="1"/>
          <w:numId w:val="7"/>
        </w:numPr>
        <w:autoSpaceDE w:val="0"/>
        <w:autoSpaceDN w:val="0"/>
        <w:ind w:left="709" w:hanging="425"/>
        <w:jc w:val="both"/>
        <w:rPr>
          <w:sz w:val="22"/>
        </w:rPr>
      </w:pPr>
      <w:r>
        <w:rPr>
          <w:sz w:val="22"/>
        </w:rPr>
        <w:t>for Class A Shares (other than Class A GBP (Distributing):</w:t>
      </w:r>
      <w:r>
        <w:rPr>
          <w:sz w:val="22"/>
        </w:rPr>
        <w:tab/>
        <w:t>1.25%</w:t>
      </w:r>
    </w:p>
    <w:p w14:paraId="3A058C0D" w14:textId="176EAA3B" w:rsidR="00F62273" w:rsidRDefault="00F62273" w:rsidP="00F62273">
      <w:pPr>
        <w:pStyle w:val="ListParagraph"/>
        <w:numPr>
          <w:ilvl w:val="1"/>
          <w:numId w:val="7"/>
        </w:numPr>
        <w:autoSpaceDE w:val="0"/>
        <w:autoSpaceDN w:val="0"/>
        <w:ind w:left="709" w:hanging="425"/>
        <w:jc w:val="both"/>
        <w:rPr>
          <w:sz w:val="22"/>
        </w:rPr>
      </w:pPr>
      <w:r>
        <w:rPr>
          <w:sz w:val="22"/>
        </w:rPr>
        <w:t>for Class A GBP (Distributing):</w:t>
      </w:r>
      <w:r>
        <w:rPr>
          <w:sz w:val="22"/>
        </w:rPr>
        <w:tab/>
      </w:r>
      <w:r>
        <w:rPr>
          <w:sz w:val="22"/>
        </w:rPr>
        <w:tab/>
      </w:r>
      <w:r>
        <w:rPr>
          <w:sz w:val="22"/>
        </w:rPr>
        <w:tab/>
      </w:r>
      <w:r>
        <w:rPr>
          <w:sz w:val="22"/>
        </w:rPr>
        <w:tab/>
      </w:r>
      <w:r>
        <w:rPr>
          <w:sz w:val="22"/>
        </w:rPr>
        <w:tab/>
        <w:t>0.75%</w:t>
      </w:r>
    </w:p>
    <w:p w14:paraId="44056A24" w14:textId="30BD56A4" w:rsidR="00F62273" w:rsidRDefault="00F62273" w:rsidP="00F62273">
      <w:pPr>
        <w:pStyle w:val="ListParagraph"/>
        <w:numPr>
          <w:ilvl w:val="1"/>
          <w:numId w:val="7"/>
        </w:numPr>
        <w:autoSpaceDE w:val="0"/>
        <w:autoSpaceDN w:val="0"/>
        <w:ind w:left="709" w:hanging="425"/>
        <w:jc w:val="both"/>
        <w:rPr>
          <w:sz w:val="22"/>
        </w:rPr>
      </w:pPr>
      <w:r>
        <w:rPr>
          <w:sz w:val="22"/>
        </w:rPr>
        <w:t>for Class B GBP (Accumulating):</w:t>
      </w:r>
      <w:r>
        <w:rPr>
          <w:sz w:val="22"/>
        </w:rPr>
        <w:tab/>
      </w:r>
      <w:r>
        <w:rPr>
          <w:sz w:val="22"/>
        </w:rPr>
        <w:tab/>
      </w:r>
      <w:r>
        <w:rPr>
          <w:sz w:val="22"/>
        </w:rPr>
        <w:tab/>
      </w:r>
      <w:r>
        <w:rPr>
          <w:sz w:val="22"/>
        </w:rPr>
        <w:tab/>
        <w:t>0%</w:t>
      </w:r>
    </w:p>
    <w:p w14:paraId="0AF26C40" w14:textId="664EA965" w:rsidR="00A357A4" w:rsidRDefault="00A357A4" w:rsidP="00F62273">
      <w:pPr>
        <w:pStyle w:val="ListParagraph"/>
        <w:numPr>
          <w:ilvl w:val="1"/>
          <w:numId w:val="7"/>
        </w:numPr>
        <w:autoSpaceDE w:val="0"/>
        <w:autoSpaceDN w:val="0"/>
        <w:ind w:left="709" w:hanging="425"/>
        <w:jc w:val="both"/>
        <w:rPr>
          <w:sz w:val="22"/>
        </w:rPr>
      </w:pPr>
      <w:r>
        <w:rPr>
          <w:sz w:val="22"/>
        </w:rPr>
        <w:t xml:space="preserve">for Class C </w:t>
      </w:r>
      <w:r w:rsidR="005E46C7">
        <w:rPr>
          <w:sz w:val="22"/>
        </w:rPr>
        <w:t>USD (Accumulating)</w:t>
      </w:r>
      <w:r>
        <w:rPr>
          <w:sz w:val="22"/>
        </w:rPr>
        <w:tab/>
      </w:r>
      <w:r>
        <w:rPr>
          <w:sz w:val="22"/>
        </w:rPr>
        <w:tab/>
      </w:r>
      <w:r>
        <w:rPr>
          <w:sz w:val="22"/>
        </w:rPr>
        <w:tab/>
      </w:r>
      <w:r>
        <w:rPr>
          <w:sz w:val="22"/>
        </w:rPr>
        <w:tab/>
        <w:t>0.75%</w:t>
      </w:r>
    </w:p>
    <w:p w14:paraId="0FFFDEF9" w14:textId="679F78E4" w:rsidR="005E46C7" w:rsidRDefault="005E46C7" w:rsidP="00F62273">
      <w:pPr>
        <w:pStyle w:val="ListParagraph"/>
        <w:numPr>
          <w:ilvl w:val="1"/>
          <w:numId w:val="7"/>
        </w:numPr>
        <w:autoSpaceDE w:val="0"/>
        <w:autoSpaceDN w:val="0"/>
        <w:ind w:left="709" w:hanging="425"/>
        <w:jc w:val="both"/>
        <w:rPr>
          <w:sz w:val="22"/>
        </w:rPr>
      </w:pPr>
      <w:r>
        <w:rPr>
          <w:sz w:val="22"/>
        </w:rPr>
        <w:t>for Class C GBP (Accumulating)</w:t>
      </w:r>
      <w:r>
        <w:rPr>
          <w:sz w:val="22"/>
        </w:rPr>
        <w:tab/>
      </w:r>
      <w:r>
        <w:rPr>
          <w:sz w:val="22"/>
        </w:rPr>
        <w:tab/>
      </w:r>
      <w:r>
        <w:rPr>
          <w:sz w:val="22"/>
        </w:rPr>
        <w:tab/>
      </w:r>
      <w:r>
        <w:rPr>
          <w:sz w:val="22"/>
        </w:rPr>
        <w:tab/>
        <w:t>0.75%</w:t>
      </w:r>
    </w:p>
    <w:p w14:paraId="097D6CD2" w14:textId="33AE5E02" w:rsidR="005E46C7" w:rsidRDefault="005E46C7" w:rsidP="00F62273">
      <w:pPr>
        <w:pStyle w:val="ListParagraph"/>
        <w:numPr>
          <w:ilvl w:val="1"/>
          <w:numId w:val="7"/>
        </w:numPr>
        <w:autoSpaceDE w:val="0"/>
        <w:autoSpaceDN w:val="0"/>
        <w:ind w:left="709" w:hanging="425"/>
        <w:jc w:val="both"/>
        <w:rPr>
          <w:sz w:val="22"/>
        </w:rPr>
      </w:pPr>
      <w:r>
        <w:rPr>
          <w:sz w:val="22"/>
        </w:rPr>
        <w:t>for Class C EUR (Accumulating)</w:t>
      </w:r>
      <w:r>
        <w:rPr>
          <w:sz w:val="22"/>
        </w:rPr>
        <w:tab/>
      </w:r>
      <w:r>
        <w:rPr>
          <w:sz w:val="22"/>
        </w:rPr>
        <w:tab/>
      </w:r>
      <w:r>
        <w:rPr>
          <w:sz w:val="22"/>
        </w:rPr>
        <w:tab/>
      </w:r>
      <w:r>
        <w:rPr>
          <w:sz w:val="22"/>
        </w:rPr>
        <w:tab/>
        <w:t>0.75%</w:t>
      </w:r>
    </w:p>
    <w:p w14:paraId="4D3250CC" w14:textId="6E3E186E" w:rsidR="00F62273" w:rsidRDefault="00F62273" w:rsidP="00F62273">
      <w:pPr>
        <w:pStyle w:val="ListParagraph"/>
        <w:numPr>
          <w:ilvl w:val="1"/>
          <w:numId w:val="7"/>
        </w:numPr>
        <w:autoSpaceDE w:val="0"/>
        <w:autoSpaceDN w:val="0"/>
        <w:ind w:left="709" w:hanging="425"/>
        <w:jc w:val="both"/>
        <w:rPr>
          <w:sz w:val="22"/>
        </w:rPr>
      </w:pPr>
      <w:r>
        <w:rPr>
          <w:sz w:val="22"/>
        </w:rPr>
        <w:t>for Founders Share Class</w:t>
      </w:r>
      <w:r w:rsidR="005E46C7">
        <w:rPr>
          <w:sz w:val="22"/>
        </w:rPr>
        <w:t xml:space="preserve"> USD</w:t>
      </w:r>
      <w:r>
        <w:rPr>
          <w:sz w:val="22"/>
        </w:rPr>
        <w:t>:</w:t>
      </w:r>
      <w:r>
        <w:rPr>
          <w:sz w:val="22"/>
        </w:rPr>
        <w:tab/>
      </w:r>
      <w:r>
        <w:rPr>
          <w:sz w:val="22"/>
        </w:rPr>
        <w:tab/>
      </w:r>
      <w:r>
        <w:rPr>
          <w:sz w:val="22"/>
        </w:rPr>
        <w:tab/>
      </w:r>
      <w:r>
        <w:rPr>
          <w:sz w:val="22"/>
        </w:rPr>
        <w:tab/>
      </w:r>
      <w:r>
        <w:rPr>
          <w:sz w:val="22"/>
        </w:rPr>
        <w:tab/>
        <w:t>0.75%</w:t>
      </w:r>
      <w:r w:rsidR="006D7050">
        <w:rPr>
          <w:sz w:val="22"/>
        </w:rPr>
        <w:t>.</w:t>
      </w:r>
    </w:p>
    <w:p w14:paraId="7EE4C4C0" w14:textId="1E5FE5B3" w:rsidR="005E46C7" w:rsidRDefault="005E46C7" w:rsidP="00F62273">
      <w:pPr>
        <w:pStyle w:val="ListParagraph"/>
        <w:numPr>
          <w:ilvl w:val="1"/>
          <w:numId w:val="7"/>
        </w:numPr>
        <w:autoSpaceDE w:val="0"/>
        <w:autoSpaceDN w:val="0"/>
        <w:ind w:left="709" w:hanging="425"/>
        <w:jc w:val="both"/>
        <w:rPr>
          <w:sz w:val="22"/>
        </w:rPr>
      </w:pPr>
      <w:r>
        <w:rPr>
          <w:sz w:val="22"/>
        </w:rPr>
        <w:t>for Founders Share Class GBP</w:t>
      </w:r>
      <w:r>
        <w:rPr>
          <w:sz w:val="22"/>
        </w:rPr>
        <w:tab/>
      </w:r>
      <w:r>
        <w:rPr>
          <w:sz w:val="22"/>
        </w:rPr>
        <w:tab/>
      </w:r>
      <w:r>
        <w:rPr>
          <w:sz w:val="22"/>
        </w:rPr>
        <w:tab/>
      </w:r>
      <w:r>
        <w:rPr>
          <w:sz w:val="22"/>
        </w:rPr>
        <w:tab/>
      </w:r>
      <w:r>
        <w:rPr>
          <w:sz w:val="22"/>
        </w:rPr>
        <w:tab/>
        <w:t>0.75%</w:t>
      </w:r>
    </w:p>
    <w:p w14:paraId="03EFD735" w14:textId="77777777" w:rsidR="00F62273" w:rsidRPr="009E65A1" w:rsidRDefault="00F62273" w:rsidP="00F62273">
      <w:pPr>
        <w:autoSpaceDE w:val="0"/>
        <w:autoSpaceDN w:val="0"/>
        <w:jc w:val="both"/>
        <w:rPr>
          <w:sz w:val="22"/>
        </w:rPr>
      </w:pPr>
    </w:p>
    <w:p w14:paraId="11EB745F" w14:textId="5D255142" w:rsidR="009C5D70" w:rsidRPr="0044148C" w:rsidRDefault="009C5D70" w:rsidP="009C5D70">
      <w:pPr>
        <w:autoSpaceDE w:val="0"/>
        <w:autoSpaceDN w:val="0"/>
        <w:jc w:val="both"/>
        <w:rPr>
          <w:sz w:val="22"/>
          <w:lang w:val="en-IE"/>
        </w:rPr>
      </w:pPr>
      <w:bookmarkStart w:id="3" w:name="_cp_text_1_7"/>
      <w:bookmarkEnd w:id="2"/>
      <w:r>
        <w:rPr>
          <w:sz w:val="22"/>
          <w:lang w:val="en-IE"/>
        </w:rPr>
        <w:t xml:space="preserve">Subscriptions into Class A GBP (Distributing) are at the discretion of the </w:t>
      </w:r>
      <w:r w:rsidR="00DB12C0">
        <w:rPr>
          <w:sz w:val="22"/>
          <w:lang w:val="en-IE"/>
        </w:rPr>
        <w:t>Directors</w:t>
      </w:r>
      <w:r w:rsidR="001F7FD1">
        <w:rPr>
          <w:sz w:val="22"/>
          <w:lang w:val="en-IE"/>
        </w:rPr>
        <w:t xml:space="preserve">, </w:t>
      </w:r>
      <w:r w:rsidR="001F7FD1" w:rsidRPr="001F7FD1">
        <w:rPr>
          <w:sz w:val="22"/>
          <w:lang w:val="en-IE"/>
        </w:rPr>
        <w:t>who may delegate the exercise of such discretion to the Investment Manager</w:t>
      </w:r>
      <w:r w:rsidR="00DB689E">
        <w:rPr>
          <w:sz w:val="22"/>
          <w:lang w:val="en-IE"/>
        </w:rPr>
        <w:t xml:space="preserve"> </w:t>
      </w:r>
      <w:r w:rsidR="00F62273">
        <w:rPr>
          <w:sz w:val="22"/>
          <w:lang w:val="en-IE"/>
        </w:rPr>
        <w:t>and will be for</w:t>
      </w:r>
      <w:r w:rsidR="00DB689E" w:rsidRPr="00DB689E">
        <w:rPr>
          <w:sz w:val="22"/>
          <w:lang w:val="en-IE"/>
        </w:rPr>
        <w:t xml:space="preserve"> investor</w:t>
      </w:r>
      <w:r w:rsidR="00F62273">
        <w:rPr>
          <w:sz w:val="22"/>
          <w:lang w:val="en-IE"/>
        </w:rPr>
        <w:t>s</w:t>
      </w:r>
      <w:r w:rsidR="00DB689E" w:rsidRPr="00DB689E">
        <w:rPr>
          <w:sz w:val="22"/>
          <w:lang w:val="en-IE"/>
        </w:rPr>
        <w:t xml:space="preserve"> </w:t>
      </w:r>
      <w:r w:rsidR="00F62273">
        <w:rPr>
          <w:sz w:val="22"/>
          <w:lang w:val="en-IE"/>
        </w:rPr>
        <w:lastRenderedPageBreak/>
        <w:t xml:space="preserve">that </w:t>
      </w:r>
      <w:r w:rsidR="00DB689E" w:rsidRPr="00DB689E">
        <w:rPr>
          <w:sz w:val="22"/>
          <w:lang w:val="en-IE"/>
        </w:rPr>
        <w:t>ha</w:t>
      </w:r>
      <w:r w:rsidR="00F62273">
        <w:rPr>
          <w:sz w:val="22"/>
          <w:lang w:val="en-IE"/>
        </w:rPr>
        <w:t>ve</w:t>
      </w:r>
      <w:r w:rsidR="00DB689E" w:rsidRPr="00DB689E">
        <w:rPr>
          <w:sz w:val="22"/>
          <w:lang w:val="en-IE"/>
        </w:rPr>
        <w:t xml:space="preserve"> a pre-existing relationship with the </w:t>
      </w:r>
      <w:r w:rsidR="00DB689E">
        <w:rPr>
          <w:sz w:val="22"/>
          <w:lang w:val="en-IE"/>
        </w:rPr>
        <w:t>I</w:t>
      </w:r>
      <w:r w:rsidR="00DB689E" w:rsidRPr="00DB689E">
        <w:rPr>
          <w:sz w:val="22"/>
          <w:lang w:val="en-IE"/>
        </w:rPr>
        <w:t xml:space="preserve">nvestment Manager or through investment in </w:t>
      </w:r>
      <w:r w:rsidR="006D7050">
        <w:rPr>
          <w:sz w:val="22"/>
          <w:lang w:val="en-IE"/>
        </w:rPr>
        <w:t xml:space="preserve">the </w:t>
      </w:r>
      <w:r w:rsidR="00DB689E" w:rsidRPr="00DB689E">
        <w:rPr>
          <w:sz w:val="22"/>
          <w:lang w:val="en-IE"/>
        </w:rPr>
        <w:t xml:space="preserve">Founders </w:t>
      </w:r>
      <w:r w:rsidR="00DB689E">
        <w:rPr>
          <w:sz w:val="22"/>
          <w:lang w:val="en-IE"/>
        </w:rPr>
        <w:t xml:space="preserve">Share </w:t>
      </w:r>
      <w:r w:rsidR="00DB689E" w:rsidRPr="00DB689E">
        <w:rPr>
          <w:sz w:val="22"/>
          <w:lang w:val="en-IE"/>
        </w:rPr>
        <w:t>Class.</w:t>
      </w:r>
    </w:p>
    <w:p w14:paraId="2719B2F6" w14:textId="77777777" w:rsidR="001107AE" w:rsidRDefault="001107AE">
      <w:pPr>
        <w:autoSpaceDE w:val="0"/>
        <w:autoSpaceDN w:val="0"/>
        <w:jc w:val="both"/>
        <w:rPr>
          <w:sz w:val="22"/>
          <w:lang w:val="en-IE"/>
        </w:rPr>
      </w:pPr>
    </w:p>
    <w:p w14:paraId="315E4721" w14:textId="0F2D0834" w:rsidR="00DB689E" w:rsidRDefault="00A77290" w:rsidP="001107AE">
      <w:pPr>
        <w:autoSpaceDE w:val="0"/>
        <w:autoSpaceDN w:val="0"/>
        <w:jc w:val="both"/>
        <w:rPr>
          <w:sz w:val="22"/>
          <w:lang w:val="en-IE"/>
        </w:rPr>
      </w:pPr>
      <w:r>
        <w:rPr>
          <w:sz w:val="22"/>
          <w:lang w:val="en-IE"/>
        </w:rPr>
        <w:t xml:space="preserve">Subscriptions into Class B GBP (Accumulating) are at the discretion of the Directors, </w:t>
      </w:r>
      <w:r w:rsidRPr="001F7FD1">
        <w:rPr>
          <w:sz w:val="22"/>
          <w:lang w:val="en-IE"/>
        </w:rPr>
        <w:t>who may delegate the exercise of such discretion to the Investment Manager</w:t>
      </w:r>
      <w:r w:rsidR="006D7050">
        <w:rPr>
          <w:sz w:val="22"/>
          <w:lang w:val="en-IE"/>
        </w:rPr>
        <w:t xml:space="preserve"> and will be for </w:t>
      </w:r>
      <w:r>
        <w:rPr>
          <w:sz w:val="22"/>
          <w:lang w:val="en-IE"/>
        </w:rPr>
        <w:t xml:space="preserve">investment </w:t>
      </w:r>
      <w:r w:rsidR="003F6C9E">
        <w:rPr>
          <w:sz w:val="22"/>
          <w:lang w:val="en-IE"/>
        </w:rPr>
        <w:t>funds</w:t>
      </w:r>
      <w:r w:rsidR="00EA7CCC">
        <w:rPr>
          <w:sz w:val="22"/>
          <w:lang w:val="en-IE"/>
        </w:rPr>
        <w:t xml:space="preserve">, including UK and other domiciled feeder </w:t>
      </w:r>
      <w:r w:rsidR="00D3360D">
        <w:rPr>
          <w:sz w:val="22"/>
          <w:lang w:val="en-IE"/>
        </w:rPr>
        <w:t xml:space="preserve">investment </w:t>
      </w:r>
      <w:r w:rsidR="00EA7CCC">
        <w:rPr>
          <w:sz w:val="22"/>
          <w:lang w:val="en-IE"/>
        </w:rPr>
        <w:t>funds,</w:t>
      </w:r>
      <w:r>
        <w:rPr>
          <w:sz w:val="22"/>
          <w:lang w:val="en-IE"/>
        </w:rPr>
        <w:t xml:space="preserve"> that </w:t>
      </w:r>
      <w:r w:rsidR="003F6C9E">
        <w:rPr>
          <w:sz w:val="22"/>
          <w:lang w:val="en-IE"/>
        </w:rPr>
        <w:t>are</w:t>
      </w:r>
      <w:r>
        <w:rPr>
          <w:sz w:val="22"/>
          <w:lang w:val="en-IE"/>
        </w:rPr>
        <w:t xml:space="preserve"> managed or advised by the </w:t>
      </w:r>
      <w:r w:rsidR="003F6C9E">
        <w:rPr>
          <w:sz w:val="22"/>
          <w:lang w:val="en-IE"/>
        </w:rPr>
        <w:t>I</w:t>
      </w:r>
      <w:r>
        <w:rPr>
          <w:sz w:val="22"/>
          <w:lang w:val="en-IE"/>
        </w:rPr>
        <w:t xml:space="preserve">nvestment </w:t>
      </w:r>
      <w:r w:rsidR="003F6C9E">
        <w:rPr>
          <w:sz w:val="22"/>
          <w:lang w:val="en-IE"/>
        </w:rPr>
        <w:t>M</w:t>
      </w:r>
      <w:r>
        <w:rPr>
          <w:sz w:val="22"/>
          <w:lang w:val="en-IE"/>
        </w:rPr>
        <w:t>anager.</w:t>
      </w:r>
    </w:p>
    <w:bookmarkEnd w:id="3"/>
    <w:p w14:paraId="5C9432F9" w14:textId="77777777" w:rsidR="00D76B8C" w:rsidRPr="0044148C" w:rsidRDefault="00D76B8C">
      <w:pPr>
        <w:autoSpaceDE w:val="0"/>
        <w:autoSpaceDN w:val="0"/>
        <w:jc w:val="both"/>
        <w:rPr>
          <w:sz w:val="22"/>
          <w:lang w:val="en-IE"/>
        </w:rPr>
      </w:pPr>
    </w:p>
    <w:p w14:paraId="3C7474AA" w14:textId="13BE5BB0" w:rsidR="00091859" w:rsidRPr="0044148C" w:rsidRDefault="00803295">
      <w:pPr>
        <w:autoSpaceDE w:val="0"/>
        <w:autoSpaceDN w:val="0"/>
        <w:jc w:val="both"/>
        <w:rPr>
          <w:sz w:val="22"/>
          <w:lang w:val="en-IE"/>
        </w:rPr>
      </w:pPr>
      <w:r>
        <w:rPr>
          <w:sz w:val="22"/>
          <w:lang w:val="en-IE"/>
        </w:rPr>
        <w:t>For Shareholders in the Founders Share Class, the aggregate fees of the Manager, Administrator, Depositary (including sub-custodians) and the Directors together with all reasonable properly vouched out-of-pocket expenses and all Value Added Tax payable on such fees and expenses (the “</w:t>
      </w:r>
      <w:r>
        <w:rPr>
          <w:b/>
          <w:sz w:val="22"/>
          <w:lang w:val="en-IE"/>
        </w:rPr>
        <w:t>Fees</w:t>
      </w:r>
      <w:r>
        <w:rPr>
          <w:sz w:val="22"/>
          <w:lang w:val="en-IE"/>
        </w:rPr>
        <w:t>”) will not exceed 1.25% per annum of the Net Asset Value of the Fund (the “</w:t>
      </w:r>
      <w:r>
        <w:rPr>
          <w:b/>
          <w:sz w:val="22"/>
          <w:lang w:val="en-IE"/>
        </w:rPr>
        <w:t>Fee Cap</w:t>
      </w:r>
      <w:r>
        <w:rPr>
          <w:sz w:val="22"/>
          <w:lang w:val="en-IE"/>
        </w:rPr>
        <w:t>”).  The Investment Manager will rebate the Shareholders in the Founders Share Class any Fees paid in excess of the Fee Cap.</w:t>
      </w:r>
      <w:r w:rsidR="006D7050">
        <w:rPr>
          <w:sz w:val="22"/>
          <w:lang w:val="en-IE"/>
        </w:rPr>
        <w:t xml:space="preserve"> The Founders Share Class is now closed to subscriptions.</w:t>
      </w:r>
    </w:p>
    <w:p w14:paraId="01B998AF" w14:textId="77777777" w:rsidR="00B335DD" w:rsidRPr="0044148C" w:rsidRDefault="00B335DD">
      <w:pPr>
        <w:autoSpaceDE w:val="0"/>
        <w:autoSpaceDN w:val="0"/>
        <w:jc w:val="both"/>
        <w:rPr>
          <w:sz w:val="22"/>
          <w:lang w:val="en-US"/>
        </w:rPr>
      </w:pPr>
    </w:p>
    <w:p w14:paraId="48232427" w14:textId="77777777" w:rsidR="0067588A" w:rsidRPr="0044148C" w:rsidRDefault="00BD3845">
      <w:pPr>
        <w:autoSpaceDE w:val="0"/>
        <w:autoSpaceDN w:val="0"/>
        <w:jc w:val="both"/>
        <w:rPr>
          <w:sz w:val="22"/>
          <w:lang w:val="en-US"/>
        </w:rPr>
      </w:pPr>
      <w:bookmarkStart w:id="4" w:name="_cp_blt_2_9"/>
      <w:bookmarkStart w:id="5" w:name="_cp_blt_2_11"/>
      <w:bookmarkEnd w:id="4"/>
      <w:bookmarkEnd w:id="5"/>
      <w:r>
        <w:rPr>
          <w:sz w:val="22"/>
          <w:lang w:val="en-US"/>
        </w:rPr>
        <w:t>The Investment Manager shall also be entitled to be reimbursed for its reasonable and properly vouched out-of-pocket expenses</w:t>
      </w:r>
      <w:r>
        <w:rPr>
          <w:sz w:val="22"/>
        </w:rPr>
        <w:t xml:space="preserve"> in respect of its investment management and distribution services to the </w:t>
      </w:r>
      <w:r>
        <w:rPr>
          <w:sz w:val="22"/>
          <w:lang w:val="en-US"/>
        </w:rPr>
        <w:t>Fund, payable out of the assets of the Fund (with value added tax thereon if applicable). Such fees shall accrue daily and be payable monthly in arrears.</w:t>
      </w:r>
    </w:p>
    <w:p w14:paraId="072EB6F4" w14:textId="77777777" w:rsidR="00B335DD" w:rsidRPr="0044148C" w:rsidRDefault="00B335DD">
      <w:pPr>
        <w:adjustRightInd/>
        <w:jc w:val="both"/>
        <w:rPr>
          <w:b/>
          <w:sz w:val="22"/>
          <w:lang w:val="en-IE" w:eastAsia="en-IE"/>
        </w:rPr>
      </w:pPr>
    </w:p>
    <w:p w14:paraId="262D5D66" w14:textId="77777777" w:rsidR="00B335DD" w:rsidRPr="0044148C" w:rsidRDefault="00BD3845">
      <w:pPr>
        <w:adjustRightInd/>
        <w:jc w:val="both"/>
        <w:rPr>
          <w:b/>
          <w:sz w:val="22"/>
          <w:lang w:eastAsia="en-IE"/>
        </w:rPr>
      </w:pPr>
      <w:r>
        <w:rPr>
          <w:b/>
          <w:sz w:val="22"/>
          <w:lang w:val="en-IE" w:eastAsia="en-IE"/>
        </w:rPr>
        <w:t>Subscription</w:t>
      </w:r>
      <w:r>
        <w:rPr>
          <w:b/>
          <w:sz w:val="22"/>
          <w:lang w:eastAsia="en-IE"/>
        </w:rPr>
        <w:t xml:space="preserve"> Charge</w:t>
      </w:r>
    </w:p>
    <w:p w14:paraId="3564D2B8" w14:textId="77777777" w:rsidR="00B335DD" w:rsidRPr="0044148C" w:rsidRDefault="00BD3845">
      <w:pPr>
        <w:adjustRightInd/>
        <w:jc w:val="both"/>
        <w:rPr>
          <w:sz w:val="22"/>
          <w:lang w:val="en-IE" w:eastAsia="en-IE"/>
        </w:rPr>
      </w:pPr>
      <w:r>
        <w:rPr>
          <w:sz w:val="22"/>
          <w:lang w:val="en-IE" w:eastAsia="en-IE"/>
        </w:rPr>
        <w:t xml:space="preserve"> </w:t>
      </w:r>
    </w:p>
    <w:p w14:paraId="77F4AD50" w14:textId="4D93218D" w:rsidR="00B335DD" w:rsidRPr="0044148C" w:rsidRDefault="00BD3845">
      <w:pPr>
        <w:adjustRightInd/>
        <w:jc w:val="both"/>
        <w:rPr>
          <w:sz w:val="22"/>
          <w:lang w:val="en-IE" w:eastAsia="en-IE"/>
        </w:rPr>
      </w:pPr>
      <w:r>
        <w:rPr>
          <w:sz w:val="22"/>
          <w:lang w:val="en-IE" w:eastAsia="en-IE"/>
        </w:rPr>
        <w:t>No subscription charge is payable to the ICAV.</w:t>
      </w:r>
    </w:p>
    <w:p w14:paraId="0F067B06" w14:textId="21E1BE6E" w:rsidR="00F30632" w:rsidRPr="0044148C" w:rsidRDefault="00F30632" w:rsidP="005473BC">
      <w:pPr>
        <w:keepNext/>
        <w:adjustRightInd/>
        <w:jc w:val="both"/>
        <w:rPr>
          <w:b/>
          <w:sz w:val="22"/>
          <w:lang w:eastAsia="en-IE"/>
        </w:rPr>
      </w:pPr>
      <w:r>
        <w:rPr>
          <w:b/>
          <w:sz w:val="22"/>
          <w:lang w:val="en-IE" w:eastAsia="en-IE"/>
        </w:rPr>
        <w:t>Redemption</w:t>
      </w:r>
      <w:r>
        <w:rPr>
          <w:b/>
          <w:sz w:val="22"/>
          <w:lang w:eastAsia="en-IE"/>
        </w:rPr>
        <w:t xml:space="preserve"> Charge</w:t>
      </w:r>
    </w:p>
    <w:p w14:paraId="06AA3B8C" w14:textId="5174C17E" w:rsidR="00F30632" w:rsidRPr="0044148C" w:rsidRDefault="00F30632" w:rsidP="005473BC">
      <w:pPr>
        <w:keepNext/>
        <w:adjustRightInd/>
        <w:jc w:val="both"/>
        <w:rPr>
          <w:sz w:val="22"/>
          <w:lang w:val="en-IE" w:eastAsia="en-IE"/>
        </w:rPr>
      </w:pPr>
      <w:r>
        <w:rPr>
          <w:sz w:val="22"/>
          <w:lang w:val="en-IE" w:eastAsia="en-IE"/>
        </w:rPr>
        <w:t xml:space="preserve"> </w:t>
      </w:r>
    </w:p>
    <w:p w14:paraId="4BBB28D6" w14:textId="7F565BD1" w:rsidR="00B335DD" w:rsidRPr="0044148C" w:rsidRDefault="002A7F37" w:rsidP="005473BC">
      <w:pPr>
        <w:keepNext/>
        <w:autoSpaceDE w:val="0"/>
        <w:autoSpaceDN w:val="0"/>
        <w:jc w:val="both"/>
        <w:rPr>
          <w:sz w:val="22"/>
        </w:rPr>
      </w:pPr>
      <w:r>
        <w:rPr>
          <w:bCs/>
          <w:iCs/>
          <w:sz w:val="22"/>
          <w:szCs w:val="22"/>
        </w:rPr>
        <w:t xml:space="preserve">A fee of up to 2.00% of </w:t>
      </w:r>
      <w:r>
        <w:rPr>
          <w:sz w:val="22"/>
        </w:rPr>
        <w:t>the Net Asset Value of the Shares being redeemed may be imposed on redemption proceeds paid to a Shareholder that redeems any Class of Shares within the first 30 days after the Shareholder’s purchase of such Shares.</w:t>
      </w:r>
    </w:p>
    <w:p w14:paraId="661A7A0F" w14:textId="77777777" w:rsidR="006A79EC" w:rsidRPr="0044148C" w:rsidRDefault="006A79EC" w:rsidP="002A7F37">
      <w:pPr>
        <w:autoSpaceDE w:val="0"/>
        <w:autoSpaceDN w:val="0"/>
        <w:jc w:val="both"/>
        <w:rPr>
          <w:sz w:val="22"/>
        </w:rPr>
      </w:pPr>
    </w:p>
    <w:p w14:paraId="20C99194" w14:textId="77777777" w:rsidR="006A79EC" w:rsidRPr="0044148C" w:rsidRDefault="006A79EC" w:rsidP="002A7F37">
      <w:pPr>
        <w:autoSpaceDE w:val="0"/>
        <w:autoSpaceDN w:val="0"/>
        <w:jc w:val="both"/>
        <w:rPr>
          <w:sz w:val="22"/>
          <w:lang w:val="en-US" w:eastAsia="en-IE"/>
        </w:rPr>
        <w:sectPr w:rsidR="006A79EC" w:rsidRPr="0044148C" w:rsidSect="00AE6B78">
          <w:headerReference w:type="default" r:id="rId26"/>
          <w:pgSz w:w="11908" w:h="16833"/>
          <w:pgMar w:top="1440" w:right="1800" w:bottom="851" w:left="1800" w:header="720" w:footer="720" w:gutter="0"/>
          <w:cols w:space="720"/>
          <w:noEndnote/>
          <w:titlePg/>
        </w:sectPr>
      </w:pPr>
    </w:p>
    <w:p w14:paraId="6FE2A577" w14:textId="77777777" w:rsidR="00B335DD" w:rsidRPr="0044148C" w:rsidRDefault="00BD3845">
      <w:pPr>
        <w:pStyle w:val="Heading1"/>
        <w:adjustRightInd/>
        <w:spacing w:before="0"/>
        <w:jc w:val="center"/>
        <w:rPr>
          <w:rFonts w:ascii="Times New Roman" w:hAnsi="Times New Roman" w:cs="Times New Roman"/>
          <w:b/>
          <w:color w:val="auto"/>
          <w:sz w:val="22"/>
          <w:szCs w:val="24"/>
        </w:rPr>
      </w:pPr>
      <w:r>
        <w:rPr>
          <w:rFonts w:ascii="Times New Roman" w:eastAsia="MS Gothic" w:hAnsi="Times New Roman" w:cs="Times New Roman"/>
          <w:b/>
          <w:color w:val="auto"/>
          <w:sz w:val="22"/>
          <w:szCs w:val="24"/>
        </w:rPr>
        <w:lastRenderedPageBreak/>
        <w:t>APPENDIX 1</w:t>
      </w:r>
    </w:p>
    <w:p w14:paraId="64F2CA1A" w14:textId="77777777" w:rsidR="00B335DD" w:rsidRPr="0044148C" w:rsidRDefault="00BD3845">
      <w:pPr>
        <w:rPr>
          <w:b/>
          <w:caps/>
          <w:sz w:val="22"/>
          <w:lang w:val="en-IE" w:eastAsia="en-IE"/>
        </w:rPr>
      </w:pPr>
      <w:r>
        <w:rPr>
          <w:b/>
          <w:sz w:val="22"/>
          <w:lang w:val="en-IE" w:eastAsia="en-IE"/>
        </w:rPr>
        <w:t>Share Classes</w:t>
      </w:r>
    </w:p>
    <w:p w14:paraId="51403BA9" w14:textId="77777777" w:rsidR="00B335DD" w:rsidRPr="0044148C" w:rsidRDefault="00B335DD">
      <w:pPr>
        <w:jc w:val="both"/>
        <w:rPr>
          <w:sz w:val="22"/>
          <w:lang w:val="en-IE" w:eastAsia="en-IE"/>
        </w:rPr>
      </w:pPr>
    </w:p>
    <w:tbl>
      <w:tblPr>
        <w:tblW w:w="1544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696"/>
        <w:gridCol w:w="993"/>
        <w:gridCol w:w="1701"/>
        <w:gridCol w:w="1417"/>
        <w:gridCol w:w="1559"/>
        <w:gridCol w:w="1985"/>
        <w:gridCol w:w="1984"/>
        <w:gridCol w:w="2268"/>
        <w:gridCol w:w="1843"/>
      </w:tblGrid>
      <w:tr w:rsidR="00E97685" w:rsidRPr="0044148C" w14:paraId="624E14AA" w14:textId="77777777" w:rsidTr="009E65A1">
        <w:trPr>
          <w:trHeight w:val="825"/>
        </w:trPr>
        <w:tc>
          <w:tcPr>
            <w:tcW w:w="1696" w:type="dxa"/>
            <w:tcBorders>
              <w:top w:val="single" w:sz="4" w:space="0" w:color="auto"/>
              <w:bottom w:val="single" w:sz="4" w:space="0" w:color="auto"/>
              <w:right w:val="single" w:sz="4" w:space="0" w:color="auto"/>
            </w:tcBorders>
          </w:tcPr>
          <w:p w14:paraId="283D91AC" w14:textId="77777777" w:rsidR="00E97685" w:rsidRPr="0044148C" w:rsidRDefault="00E97685">
            <w:pPr>
              <w:adjustRightInd/>
              <w:rPr>
                <w:b/>
                <w:sz w:val="22"/>
              </w:rPr>
            </w:pPr>
            <w:r>
              <w:rPr>
                <w:b/>
                <w:sz w:val="22"/>
              </w:rPr>
              <w:t>Share Class</w:t>
            </w:r>
          </w:p>
        </w:tc>
        <w:tc>
          <w:tcPr>
            <w:tcW w:w="993" w:type="dxa"/>
            <w:tcBorders>
              <w:top w:val="single" w:sz="4" w:space="0" w:color="auto"/>
              <w:left w:val="single" w:sz="4" w:space="0" w:color="auto"/>
              <w:bottom w:val="single" w:sz="4" w:space="0" w:color="auto"/>
              <w:right w:val="single" w:sz="4" w:space="0" w:color="auto"/>
            </w:tcBorders>
          </w:tcPr>
          <w:p w14:paraId="5D0A2DB4" w14:textId="77777777" w:rsidR="00E97685" w:rsidRPr="0044148C" w:rsidRDefault="00E97685">
            <w:pPr>
              <w:adjustRightInd/>
              <w:rPr>
                <w:b/>
                <w:sz w:val="22"/>
              </w:rPr>
            </w:pPr>
            <w:r>
              <w:rPr>
                <w:b/>
                <w:sz w:val="22"/>
              </w:rPr>
              <w:t>Class Currency</w:t>
            </w:r>
          </w:p>
        </w:tc>
        <w:tc>
          <w:tcPr>
            <w:tcW w:w="1701" w:type="dxa"/>
            <w:tcBorders>
              <w:top w:val="single" w:sz="4" w:space="0" w:color="auto"/>
              <w:left w:val="single" w:sz="4" w:space="0" w:color="auto"/>
              <w:bottom w:val="single" w:sz="4" w:space="0" w:color="auto"/>
              <w:right w:val="single" w:sz="4" w:space="0" w:color="auto"/>
            </w:tcBorders>
          </w:tcPr>
          <w:p w14:paraId="6A883166" w14:textId="77777777" w:rsidR="00E97685" w:rsidRPr="0044148C" w:rsidRDefault="00E97685">
            <w:pPr>
              <w:adjustRightInd/>
              <w:rPr>
                <w:b/>
                <w:sz w:val="22"/>
              </w:rPr>
            </w:pPr>
            <w:r>
              <w:rPr>
                <w:b/>
                <w:sz w:val="22"/>
              </w:rPr>
              <w:t>Accumulating</w:t>
            </w:r>
          </w:p>
        </w:tc>
        <w:tc>
          <w:tcPr>
            <w:tcW w:w="1417" w:type="dxa"/>
            <w:tcBorders>
              <w:top w:val="single" w:sz="4" w:space="0" w:color="auto"/>
              <w:left w:val="single" w:sz="4" w:space="0" w:color="auto"/>
              <w:bottom w:val="single" w:sz="4" w:space="0" w:color="auto"/>
              <w:right w:val="single" w:sz="4" w:space="0" w:color="auto"/>
            </w:tcBorders>
          </w:tcPr>
          <w:p w14:paraId="1C97940B" w14:textId="68B1B1A7" w:rsidR="00E97685" w:rsidRDefault="00E97685">
            <w:pPr>
              <w:adjustRightInd/>
              <w:ind w:right="-132"/>
              <w:rPr>
                <w:b/>
                <w:sz w:val="22"/>
              </w:rPr>
            </w:pPr>
            <w:r>
              <w:rPr>
                <w:b/>
                <w:sz w:val="22"/>
              </w:rPr>
              <w:t>Distributing</w:t>
            </w:r>
          </w:p>
        </w:tc>
        <w:tc>
          <w:tcPr>
            <w:tcW w:w="1559" w:type="dxa"/>
            <w:tcBorders>
              <w:top w:val="single" w:sz="4" w:space="0" w:color="auto"/>
              <w:left w:val="single" w:sz="4" w:space="0" w:color="auto"/>
              <w:bottom w:val="single" w:sz="4" w:space="0" w:color="auto"/>
              <w:right w:val="single" w:sz="4" w:space="0" w:color="auto"/>
            </w:tcBorders>
          </w:tcPr>
          <w:p w14:paraId="05DBFC30" w14:textId="665D1911" w:rsidR="00E97685" w:rsidRPr="0044148C" w:rsidRDefault="00E97685">
            <w:pPr>
              <w:adjustRightInd/>
              <w:ind w:right="-132"/>
              <w:rPr>
                <w:b/>
                <w:sz w:val="22"/>
              </w:rPr>
            </w:pPr>
            <w:r>
              <w:rPr>
                <w:b/>
                <w:sz w:val="22"/>
              </w:rPr>
              <w:t>Initial Offer Period Status</w:t>
            </w:r>
          </w:p>
        </w:tc>
        <w:tc>
          <w:tcPr>
            <w:tcW w:w="1985" w:type="dxa"/>
            <w:tcBorders>
              <w:top w:val="single" w:sz="4" w:space="0" w:color="auto"/>
              <w:left w:val="single" w:sz="4" w:space="0" w:color="auto"/>
              <w:bottom w:val="single" w:sz="4" w:space="0" w:color="auto"/>
              <w:right w:val="single" w:sz="4" w:space="0" w:color="auto"/>
            </w:tcBorders>
          </w:tcPr>
          <w:p w14:paraId="636660A7" w14:textId="77777777" w:rsidR="00E97685" w:rsidRPr="0044148C" w:rsidRDefault="00E97685">
            <w:pPr>
              <w:adjustRightInd/>
              <w:rPr>
                <w:b/>
                <w:sz w:val="22"/>
              </w:rPr>
            </w:pPr>
            <w:r>
              <w:rPr>
                <w:b/>
                <w:sz w:val="22"/>
              </w:rPr>
              <w:t>Initial Offer Price</w:t>
            </w:r>
          </w:p>
        </w:tc>
        <w:tc>
          <w:tcPr>
            <w:tcW w:w="1984" w:type="dxa"/>
            <w:tcBorders>
              <w:top w:val="single" w:sz="4" w:space="0" w:color="auto"/>
              <w:left w:val="single" w:sz="4" w:space="0" w:color="auto"/>
              <w:bottom w:val="single" w:sz="4" w:space="0" w:color="auto"/>
              <w:right w:val="single" w:sz="4" w:space="0" w:color="auto"/>
            </w:tcBorders>
          </w:tcPr>
          <w:p w14:paraId="6996CEBE" w14:textId="77777777" w:rsidR="00E97685" w:rsidRPr="0044148C" w:rsidRDefault="00E97685">
            <w:pPr>
              <w:adjustRightInd/>
              <w:rPr>
                <w:b/>
                <w:sz w:val="22"/>
              </w:rPr>
            </w:pPr>
            <w:r>
              <w:rPr>
                <w:b/>
                <w:sz w:val="22"/>
              </w:rPr>
              <w:t>Minimum Holding</w:t>
            </w:r>
            <w:r>
              <w:rPr>
                <w:sz w:val="22"/>
                <w:vertAlign w:val="superscript"/>
                <w:lang w:val="en-IE" w:eastAsia="en-IE"/>
              </w:rPr>
              <w:t>†</w:t>
            </w:r>
          </w:p>
        </w:tc>
        <w:tc>
          <w:tcPr>
            <w:tcW w:w="2268" w:type="dxa"/>
            <w:tcBorders>
              <w:top w:val="single" w:sz="4" w:space="0" w:color="auto"/>
              <w:left w:val="single" w:sz="4" w:space="0" w:color="auto"/>
              <w:bottom w:val="single" w:sz="4" w:space="0" w:color="auto"/>
              <w:right w:val="single" w:sz="4" w:space="0" w:color="auto"/>
            </w:tcBorders>
          </w:tcPr>
          <w:p w14:paraId="59863453" w14:textId="77777777" w:rsidR="00E97685" w:rsidRPr="0044148C" w:rsidRDefault="00E97685">
            <w:pPr>
              <w:adjustRightInd/>
              <w:ind w:right="-109"/>
              <w:rPr>
                <w:b/>
                <w:sz w:val="22"/>
              </w:rPr>
            </w:pPr>
            <w:r>
              <w:rPr>
                <w:b/>
                <w:sz w:val="22"/>
              </w:rPr>
              <w:t>Minimum Initial Investment Amount</w:t>
            </w:r>
            <w:r>
              <w:rPr>
                <w:sz w:val="22"/>
                <w:vertAlign w:val="superscript"/>
                <w:lang w:val="en-IE" w:eastAsia="en-IE"/>
              </w:rPr>
              <w:t>†</w:t>
            </w:r>
          </w:p>
        </w:tc>
        <w:tc>
          <w:tcPr>
            <w:tcW w:w="1843" w:type="dxa"/>
            <w:tcBorders>
              <w:top w:val="single" w:sz="4" w:space="0" w:color="auto"/>
              <w:left w:val="single" w:sz="4" w:space="0" w:color="auto"/>
              <w:bottom w:val="single" w:sz="4" w:space="0" w:color="auto"/>
            </w:tcBorders>
          </w:tcPr>
          <w:p w14:paraId="0C92442C" w14:textId="77777777" w:rsidR="00E97685" w:rsidRPr="0044148C" w:rsidRDefault="00E97685">
            <w:pPr>
              <w:adjustRightInd/>
              <w:ind w:right="-117"/>
              <w:rPr>
                <w:b/>
                <w:sz w:val="22"/>
              </w:rPr>
            </w:pPr>
            <w:r>
              <w:rPr>
                <w:b/>
                <w:sz w:val="22"/>
              </w:rPr>
              <w:t>Minimum Subsequent Investment Amount</w:t>
            </w:r>
            <w:r>
              <w:rPr>
                <w:sz w:val="22"/>
                <w:vertAlign w:val="superscript"/>
                <w:lang w:val="en-IE" w:eastAsia="en-IE"/>
              </w:rPr>
              <w:t>†</w:t>
            </w:r>
          </w:p>
        </w:tc>
      </w:tr>
      <w:tr w:rsidR="00E97685" w:rsidRPr="0044148C" w14:paraId="43F54DA4" w14:textId="77777777" w:rsidTr="009E65A1">
        <w:trPr>
          <w:trHeight w:val="467"/>
        </w:trPr>
        <w:tc>
          <w:tcPr>
            <w:tcW w:w="1696" w:type="dxa"/>
            <w:tcBorders>
              <w:top w:val="single" w:sz="4" w:space="0" w:color="auto"/>
              <w:bottom w:val="single" w:sz="4" w:space="0" w:color="auto"/>
              <w:right w:val="single" w:sz="4" w:space="0" w:color="auto"/>
            </w:tcBorders>
          </w:tcPr>
          <w:p w14:paraId="687B9EF0" w14:textId="2C8600F6" w:rsidR="00E97685" w:rsidRPr="0044148C" w:rsidRDefault="00E97685">
            <w:pPr>
              <w:adjustRightInd/>
              <w:rPr>
                <w:sz w:val="22"/>
              </w:rPr>
            </w:pPr>
            <w:r>
              <w:rPr>
                <w:sz w:val="22"/>
              </w:rPr>
              <w:t xml:space="preserve">Class A USD </w:t>
            </w:r>
          </w:p>
          <w:p w14:paraId="698D4D94" w14:textId="77777777" w:rsidR="00E97685" w:rsidRPr="0044148C" w:rsidRDefault="00E97685">
            <w:pPr>
              <w:adjustRightInd/>
              <w:rPr>
                <w:sz w:val="22"/>
              </w:rPr>
            </w:pPr>
          </w:p>
        </w:tc>
        <w:tc>
          <w:tcPr>
            <w:tcW w:w="993" w:type="dxa"/>
            <w:tcBorders>
              <w:top w:val="single" w:sz="4" w:space="0" w:color="auto"/>
              <w:left w:val="single" w:sz="4" w:space="0" w:color="auto"/>
              <w:bottom w:val="single" w:sz="4" w:space="0" w:color="auto"/>
              <w:right w:val="single" w:sz="4" w:space="0" w:color="auto"/>
            </w:tcBorders>
          </w:tcPr>
          <w:p w14:paraId="6CE61249" w14:textId="77777777" w:rsidR="00E97685" w:rsidRPr="0044148C" w:rsidRDefault="00E97685">
            <w:pPr>
              <w:adjustRightInd/>
              <w:rPr>
                <w:sz w:val="22"/>
              </w:rPr>
            </w:pPr>
            <w:r>
              <w:rPr>
                <w:sz w:val="22"/>
              </w:rPr>
              <w:t>USD</w:t>
            </w:r>
          </w:p>
          <w:p w14:paraId="51586D75" w14:textId="77777777" w:rsidR="00E97685" w:rsidRPr="0044148C" w:rsidRDefault="00E97685">
            <w:pPr>
              <w:adjustRightInd/>
              <w:rPr>
                <w:sz w:val="22"/>
              </w:rPr>
            </w:pPr>
          </w:p>
        </w:tc>
        <w:tc>
          <w:tcPr>
            <w:tcW w:w="1701" w:type="dxa"/>
            <w:tcBorders>
              <w:top w:val="single" w:sz="4" w:space="0" w:color="auto"/>
              <w:left w:val="single" w:sz="4" w:space="0" w:color="auto"/>
              <w:bottom w:val="single" w:sz="4" w:space="0" w:color="auto"/>
              <w:right w:val="single" w:sz="4" w:space="0" w:color="auto"/>
            </w:tcBorders>
          </w:tcPr>
          <w:p w14:paraId="486C13EB" w14:textId="3D344414" w:rsidR="00E97685" w:rsidRPr="0044148C" w:rsidRDefault="00E97685">
            <w:pPr>
              <w:adjustRightInd/>
              <w:rPr>
                <w:sz w:val="22"/>
              </w:rPr>
            </w:pPr>
            <w:r>
              <w:rPr>
                <w:sz w:val="22"/>
              </w:rPr>
              <w:t>Yes</w:t>
            </w:r>
          </w:p>
          <w:p w14:paraId="75450638" w14:textId="77777777" w:rsidR="00E97685" w:rsidRPr="0044148C" w:rsidRDefault="00E97685">
            <w:pPr>
              <w:adjustRightInd/>
              <w:rPr>
                <w:sz w:val="22"/>
              </w:rPr>
            </w:pPr>
          </w:p>
        </w:tc>
        <w:tc>
          <w:tcPr>
            <w:tcW w:w="1417" w:type="dxa"/>
            <w:tcBorders>
              <w:top w:val="single" w:sz="4" w:space="0" w:color="auto"/>
              <w:left w:val="single" w:sz="4" w:space="0" w:color="auto"/>
              <w:bottom w:val="single" w:sz="4" w:space="0" w:color="auto"/>
              <w:right w:val="single" w:sz="4" w:space="0" w:color="auto"/>
            </w:tcBorders>
          </w:tcPr>
          <w:p w14:paraId="5A703E7F" w14:textId="5571BD75" w:rsidR="00E97685" w:rsidRDefault="00E97685">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740C891A" w14:textId="7E172EED" w:rsidR="00E97685" w:rsidRPr="0044148C" w:rsidRDefault="00E97685">
            <w:pPr>
              <w:adjustRightInd/>
              <w:rPr>
                <w:sz w:val="22"/>
              </w:rPr>
            </w:pPr>
            <w:r>
              <w:rPr>
                <w:sz w:val="22"/>
              </w:rPr>
              <w:t>Open</w:t>
            </w:r>
          </w:p>
          <w:p w14:paraId="1FF4A6E7" w14:textId="77777777" w:rsidR="00E97685" w:rsidRPr="0044148C" w:rsidRDefault="00E97685">
            <w:pPr>
              <w:adjustRightInd/>
              <w:rPr>
                <w:sz w:val="22"/>
              </w:rPr>
            </w:pPr>
          </w:p>
        </w:tc>
        <w:tc>
          <w:tcPr>
            <w:tcW w:w="1985" w:type="dxa"/>
            <w:tcBorders>
              <w:top w:val="single" w:sz="4" w:space="0" w:color="auto"/>
              <w:left w:val="single" w:sz="4" w:space="0" w:color="auto"/>
              <w:bottom w:val="single" w:sz="4" w:space="0" w:color="auto"/>
              <w:right w:val="single" w:sz="4" w:space="0" w:color="auto"/>
            </w:tcBorders>
          </w:tcPr>
          <w:p w14:paraId="07B3BA86" w14:textId="77777777" w:rsidR="00E97685" w:rsidRPr="0044148C" w:rsidRDefault="00E97685">
            <w:pPr>
              <w:adjustRightInd/>
              <w:rPr>
                <w:sz w:val="22"/>
              </w:rPr>
            </w:pPr>
            <w:r>
              <w:rPr>
                <w:sz w:val="22"/>
              </w:rPr>
              <w:t>$10</w:t>
            </w:r>
          </w:p>
          <w:p w14:paraId="1507488D" w14:textId="77777777" w:rsidR="00E97685" w:rsidRPr="0044148C" w:rsidRDefault="00E97685">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53770098" w14:textId="286BCBD2" w:rsidR="00E97685" w:rsidRPr="0044148C" w:rsidRDefault="00E97685" w:rsidP="00712EB0">
            <w:pPr>
              <w:adjustRightInd/>
              <w:rPr>
                <w:sz w:val="22"/>
              </w:rPr>
            </w:pPr>
            <w:r>
              <w:rPr>
                <w:sz w:val="22"/>
              </w:rPr>
              <w:t>$1,000</w:t>
            </w:r>
          </w:p>
        </w:tc>
        <w:tc>
          <w:tcPr>
            <w:tcW w:w="2268" w:type="dxa"/>
            <w:tcBorders>
              <w:top w:val="single" w:sz="4" w:space="0" w:color="auto"/>
              <w:left w:val="single" w:sz="4" w:space="0" w:color="auto"/>
              <w:bottom w:val="single" w:sz="4" w:space="0" w:color="auto"/>
              <w:right w:val="single" w:sz="4" w:space="0" w:color="auto"/>
            </w:tcBorders>
          </w:tcPr>
          <w:p w14:paraId="175EA9FA" w14:textId="77777777" w:rsidR="00E97685" w:rsidRPr="0044148C" w:rsidRDefault="00E97685">
            <w:pPr>
              <w:adjustRightInd/>
              <w:rPr>
                <w:sz w:val="22"/>
              </w:rPr>
            </w:pPr>
            <w:r>
              <w:rPr>
                <w:sz w:val="22"/>
              </w:rPr>
              <w:t>$1,000</w:t>
            </w:r>
          </w:p>
        </w:tc>
        <w:tc>
          <w:tcPr>
            <w:tcW w:w="1843" w:type="dxa"/>
            <w:tcBorders>
              <w:top w:val="single" w:sz="4" w:space="0" w:color="auto"/>
              <w:left w:val="single" w:sz="4" w:space="0" w:color="auto"/>
              <w:bottom w:val="single" w:sz="4" w:space="0" w:color="auto"/>
            </w:tcBorders>
          </w:tcPr>
          <w:p w14:paraId="25AB9EBC" w14:textId="77777777" w:rsidR="00E97685" w:rsidRPr="0044148C" w:rsidRDefault="00E97685">
            <w:pPr>
              <w:adjustRightInd/>
              <w:rPr>
                <w:sz w:val="22"/>
              </w:rPr>
            </w:pPr>
            <w:r>
              <w:rPr>
                <w:sz w:val="22"/>
              </w:rPr>
              <w:t>$1,000</w:t>
            </w:r>
          </w:p>
        </w:tc>
      </w:tr>
      <w:tr w:rsidR="00E97685" w:rsidRPr="0044148C" w14:paraId="524CF5D7" w14:textId="77777777" w:rsidTr="009E65A1">
        <w:trPr>
          <w:trHeight w:val="467"/>
        </w:trPr>
        <w:tc>
          <w:tcPr>
            <w:tcW w:w="1696" w:type="dxa"/>
            <w:tcBorders>
              <w:top w:val="single" w:sz="4" w:space="0" w:color="auto"/>
              <w:bottom w:val="single" w:sz="4" w:space="0" w:color="auto"/>
              <w:right w:val="single" w:sz="4" w:space="0" w:color="auto"/>
            </w:tcBorders>
          </w:tcPr>
          <w:p w14:paraId="34B06106" w14:textId="533263AC" w:rsidR="00E97685" w:rsidRPr="0044148C" w:rsidRDefault="00E97685" w:rsidP="00133301">
            <w:pPr>
              <w:adjustRightInd/>
              <w:rPr>
                <w:sz w:val="22"/>
              </w:rPr>
            </w:pPr>
            <w:r>
              <w:rPr>
                <w:sz w:val="22"/>
              </w:rPr>
              <w:t xml:space="preserve">Class A GBP </w:t>
            </w:r>
          </w:p>
        </w:tc>
        <w:tc>
          <w:tcPr>
            <w:tcW w:w="993" w:type="dxa"/>
            <w:tcBorders>
              <w:top w:val="single" w:sz="4" w:space="0" w:color="auto"/>
              <w:left w:val="single" w:sz="4" w:space="0" w:color="auto"/>
              <w:bottom w:val="single" w:sz="4" w:space="0" w:color="auto"/>
              <w:right w:val="single" w:sz="4" w:space="0" w:color="auto"/>
            </w:tcBorders>
          </w:tcPr>
          <w:p w14:paraId="6D86F1DA" w14:textId="77777777" w:rsidR="00E97685" w:rsidRPr="0044148C" w:rsidRDefault="00E97685" w:rsidP="00133301">
            <w:pPr>
              <w:adjustRightInd/>
              <w:rPr>
                <w:sz w:val="22"/>
              </w:rPr>
            </w:pPr>
            <w:r>
              <w:rPr>
                <w:sz w:val="22"/>
              </w:rPr>
              <w:t xml:space="preserve">GBP </w:t>
            </w:r>
          </w:p>
        </w:tc>
        <w:tc>
          <w:tcPr>
            <w:tcW w:w="1701" w:type="dxa"/>
            <w:tcBorders>
              <w:top w:val="single" w:sz="4" w:space="0" w:color="auto"/>
              <w:left w:val="single" w:sz="4" w:space="0" w:color="auto"/>
              <w:bottom w:val="single" w:sz="4" w:space="0" w:color="auto"/>
              <w:right w:val="single" w:sz="4" w:space="0" w:color="auto"/>
            </w:tcBorders>
          </w:tcPr>
          <w:p w14:paraId="6CF92DC1" w14:textId="15434B71" w:rsidR="00E97685" w:rsidRPr="0044148C" w:rsidRDefault="00E97685" w:rsidP="00133301">
            <w:pPr>
              <w:adjustRightInd/>
              <w:rPr>
                <w:sz w:val="22"/>
              </w:rPr>
            </w:pPr>
            <w:r>
              <w:rPr>
                <w:sz w:val="22"/>
              </w:rPr>
              <w:t>Yes</w:t>
            </w:r>
          </w:p>
          <w:p w14:paraId="2E5D452B" w14:textId="77777777" w:rsidR="00E97685" w:rsidRPr="0044148C" w:rsidRDefault="00E97685" w:rsidP="00133301">
            <w:pPr>
              <w:adjustRightInd/>
              <w:rPr>
                <w:sz w:val="22"/>
              </w:rPr>
            </w:pPr>
          </w:p>
        </w:tc>
        <w:tc>
          <w:tcPr>
            <w:tcW w:w="1417" w:type="dxa"/>
            <w:tcBorders>
              <w:top w:val="single" w:sz="4" w:space="0" w:color="auto"/>
              <w:left w:val="single" w:sz="4" w:space="0" w:color="auto"/>
              <w:bottom w:val="single" w:sz="4" w:space="0" w:color="auto"/>
              <w:right w:val="single" w:sz="4" w:space="0" w:color="auto"/>
            </w:tcBorders>
          </w:tcPr>
          <w:p w14:paraId="52DA3614" w14:textId="78A124DB" w:rsidR="00E97685" w:rsidRDefault="00E97685" w:rsidP="00133301">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4B33466E" w14:textId="1F1A667B" w:rsidR="00E97685" w:rsidRPr="0044148C" w:rsidRDefault="00E97685" w:rsidP="00133301">
            <w:pPr>
              <w:adjustRightInd/>
              <w:rPr>
                <w:sz w:val="22"/>
              </w:rPr>
            </w:pPr>
            <w:r>
              <w:rPr>
                <w:sz w:val="22"/>
              </w:rPr>
              <w:t>Open</w:t>
            </w:r>
          </w:p>
          <w:p w14:paraId="0921D291" w14:textId="77777777" w:rsidR="00E97685" w:rsidRPr="0044148C" w:rsidRDefault="00E97685" w:rsidP="00133301">
            <w:pPr>
              <w:adjustRightInd/>
              <w:rPr>
                <w:sz w:val="22"/>
              </w:rPr>
            </w:pPr>
          </w:p>
        </w:tc>
        <w:tc>
          <w:tcPr>
            <w:tcW w:w="1985" w:type="dxa"/>
            <w:tcBorders>
              <w:top w:val="single" w:sz="4" w:space="0" w:color="auto"/>
              <w:left w:val="single" w:sz="4" w:space="0" w:color="auto"/>
              <w:bottom w:val="single" w:sz="4" w:space="0" w:color="auto"/>
              <w:right w:val="single" w:sz="4" w:space="0" w:color="auto"/>
            </w:tcBorders>
          </w:tcPr>
          <w:p w14:paraId="7197A7AA" w14:textId="77777777" w:rsidR="00E97685" w:rsidRPr="0044148C" w:rsidRDefault="00E97685" w:rsidP="00133301">
            <w:pPr>
              <w:adjustRightInd/>
              <w:rPr>
                <w:sz w:val="22"/>
              </w:rPr>
            </w:pPr>
            <w:r>
              <w:rPr>
                <w:sz w:val="22"/>
              </w:rPr>
              <w:t>£10</w:t>
            </w:r>
          </w:p>
          <w:p w14:paraId="62081E4A" w14:textId="77777777" w:rsidR="00E97685" w:rsidRPr="0044148C" w:rsidRDefault="00E97685" w:rsidP="00133301">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6C7EEEB2" w14:textId="30E0A14F" w:rsidR="00E97685" w:rsidRPr="0044148C" w:rsidRDefault="00E97685" w:rsidP="00712EB0">
            <w:pPr>
              <w:adjustRightInd/>
              <w:rPr>
                <w:sz w:val="22"/>
              </w:rPr>
            </w:pPr>
            <w:r>
              <w:rPr>
                <w:sz w:val="22"/>
              </w:rPr>
              <w:t>£1,000</w:t>
            </w:r>
          </w:p>
        </w:tc>
        <w:tc>
          <w:tcPr>
            <w:tcW w:w="2268" w:type="dxa"/>
            <w:tcBorders>
              <w:top w:val="single" w:sz="4" w:space="0" w:color="auto"/>
              <w:left w:val="single" w:sz="4" w:space="0" w:color="auto"/>
              <w:bottom w:val="single" w:sz="4" w:space="0" w:color="auto"/>
              <w:right w:val="single" w:sz="4" w:space="0" w:color="auto"/>
            </w:tcBorders>
          </w:tcPr>
          <w:p w14:paraId="5C981F7E" w14:textId="77777777" w:rsidR="00E97685" w:rsidRPr="0044148C" w:rsidRDefault="00E97685" w:rsidP="00133301">
            <w:pPr>
              <w:adjustRightInd/>
              <w:rPr>
                <w:sz w:val="22"/>
              </w:rPr>
            </w:pPr>
            <w:r>
              <w:rPr>
                <w:sz w:val="22"/>
              </w:rPr>
              <w:t>£1,000</w:t>
            </w:r>
          </w:p>
        </w:tc>
        <w:tc>
          <w:tcPr>
            <w:tcW w:w="1843" w:type="dxa"/>
            <w:tcBorders>
              <w:top w:val="single" w:sz="4" w:space="0" w:color="auto"/>
              <w:left w:val="single" w:sz="4" w:space="0" w:color="auto"/>
              <w:bottom w:val="single" w:sz="4" w:space="0" w:color="auto"/>
            </w:tcBorders>
          </w:tcPr>
          <w:p w14:paraId="52FD164A" w14:textId="77777777" w:rsidR="00E97685" w:rsidRPr="0044148C" w:rsidRDefault="00E97685" w:rsidP="00133301">
            <w:pPr>
              <w:adjustRightInd/>
              <w:rPr>
                <w:sz w:val="22"/>
              </w:rPr>
            </w:pPr>
            <w:r>
              <w:rPr>
                <w:sz w:val="22"/>
              </w:rPr>
              <w:t>£1,000</w:t>
            </w:r>
          </w:p>
        </w:tc>
      </w:tr>
      <w:tr w:rsidR="00E97685" w:rsidRPr="0044148C" w14:paraId="379E3C0D" w14:textId="77777777" w:rsidTr="009E65A1">
        <w:trPr>
          <w:trHeight w:val="467"/>
        </w:trPr>
        <w:tc>
          <w:tcPr>
            <w:tcW w:w="1696" w:type="dxa"/>
            <w:tcBorders>
              <w:top w:val="single" w:sz="4" w:space="0" w:color="auto"/>
              <w:bottom w:val="single" w:sz="4" w:space="0" w:color="auto"/>
              <w:right w:val="single" w:sz="4" w:space="0" w:color="auto"/>
            </w:tcBorders>
          </w:tcPr>
          <w:p w14:paraId="51590E3E" w14:textId="57B4C3BF" w:rsidR="00E97685" w:rsidRDefault="00E97685" w:rsidP="00133301">
            <w:pPr>
              <w:adjustRightInd/>
              <w:rPr>
                <w:sz w:val="22"/>
              </w:rPr>
            </w:pPr>
            <w:r>
              <w:rPr>
                <w:sz w:val="22"/>
              </w:rPr>
              <w:t>Class A GBP (Distributing)</w:t>
            </w:r>
          </w:p>
        </w:tc>
        <w:tc>
          <w:tcPr>
            <w:tcW w:w="993" w:type="dxa"/>
            <w:tcBorders>
              <w:top w:val="single" w:sz="4" w:space="0" w:color="auto"/>
              <w:left w:val="single" w:sz="4" w:space="0" w:color="auto"/>
              <w:bottom w:val="single" w:sz="4" w:space="0" w:color="auto"/>
              <w:right w:val="single" w:sz="4" w:space="0" w:color="auto"/>
            </w:tcBorders>
          </w:tcPr>
          <w:p w14:paraId="60844C45" w14:textId="19E0C34F" w:rsidR="00E97685" w:rsidRDefault="00E97685" w:rsidP="00133301">
            <w:pPr>
              <w:adjustRightInd/>
              <w:rPr>
                <w:sz w:val="22"/>
              </w:rPr>
            </w:pPr>
            <w:r>
              <w:rPr>
                <w:sz w:val="22"/>
              </w:rPr>
              <w:t>GBP</w:t>
            </w:r>
          </w:p>
        </w:tc>
        <w:tc>
          <w:tcPr>
            <w:tcW w:w="1701" w:type="dxa"/>
            <w:tcBorders>
              <w:top w:val="single" w:sz="4" w:space="0" w:color="auto"/>
              <w:left w:val="single" w:sz="4" w:space="0" w:color="auto"/>
              <w:bottom w:val="single" w:sz="4" w:space="0" w:color="auto"/>
              <w:right w:val="single" w:sz="4" w:space="0" w:color="auto"/>
            </w:tcBorders>
          </w:tcPr>
          <w:p w14:paraId="4E6EE003" w14:textId="259C36C3" w:rsidR="00E97685" w:rsidRDefault="00E97685" w:rsidP="00133301">
            <w:pPr>
              <w:adjustRightInd/>
              <w:rPr>
                <w:sz w:val="22"/>
              </w:rPr>
            </w:pPr>
            <w:r>
              <w:rPr>
                <w:sz w:val="22"/>
              </w:rPr>
              <w:t>No</w:t>
            </w:r>
          </w:p>
        </w:tc>
        <w:tc>
          <w:tcPr>
            <w:tcW w:w="1417" w:type="dxa"/>
            <w:tcBorders>
              <w:top w:val="single" w:sz="4" w:space="0" w:color="auto"/>
              <w:left w:val="single" w:sz="4" w:space="0" w:color="auto"/>
              <w:bottom w:val="single" w:sz="4" w:space="0" w:color="auto"/>
              <w:right w:val="single" w:sz="4" w:space="0" w:color="auto"/>
            </w:tcBorders>
          </w:tcPr>
          <w:p w14:paraId="3C044F6E" w14:textId="0164BE5F" w:rsidR="00E97685" w:rsidRDefault="00E97685" w:rsidP="00133301">
            <w:pPr>
              <w:adjustRightInd/>
              <w:rPr>
                <w:sz w:val="22"/>
              </w:rPr>
            </w:pPr>
            <w:r>
              <w:rPr>
                <w:sz w:val="22"/>
              </w:rPr>
              <w:t>Yes</w:t>
            </w:r>
          </w:p>
        </w:tc>
        <w:tc>
          <w:tcPr>
            <w:tcW w:w="1559" w:type="dxa"/>
            <w:tcBorders>
              <w:top w:val="single" w:sz="4" w:space="0" w:color="auto"/>
              <w:left w:val="single" w:sz="4" w:space="0" w:color="auto"/>
              <w:bottom w:val="single" w:sz="4" w:space="0" w:color="auto"/>
              <w:right w:val="single" w:sz="4" w:space="0" w:color="auto"/>
            </w:tcBorders>
          </w:tcPr>
          <w:p w14:paraId="0E94B0FA" w14:textId="7D34DC7B" w:rsidR="00E97685" w:rsidRDefault="00E97685" w:rsidP="00133301">
            <w:pPr>
              <w:adjustRightInd/>
              <w:rPr>
                <w:sz w:val="22"/>
              </w:rPr>
            </w:pPr>
            <w:r>
              <w:rPr>
                <w:sz w:val="22"/>
              </w:rPr>
              <w:t>Open</w:t>
            </w:r>
          </w:p>
        </w:tc>
        <w:tc>
          <w:tcPr>
            <w:tcW w:w="1985" w:type="dxa"/>
            <w:tcBorders>
              <w:top w:val="single" w:sz="4" w:space="0" w:color="auto"/>
              <w:left w:val="single" w:sz="4" w:space="0" w:color="auto"/>
              <w:bottom w:val="single" w:sz="4" w:space="0" w:color="auto"/>
              <w:right w:val="single" w:sz="4" w:space="0" w:color="auto"/>
            </w:tcBorders>
          </w:tcPr>
          <w:p w14:paraId="79563125" w14:textId="167AB06F" w:rsidR="00E97685" w:rsidRDefault="00E97685" w:rsidP="00133301">
            <w:pPr>
              <w:adjustRightInd/>
              <w:rPr>
                <w:sz w:val="22"/>
              </w:rPr>
            </w:pPr>
            <w:r>
              <w:rPr>
                <w:sz w:val="22"/>
              </w:rPr>
              <w:t>£10</w:t>
            </w:r>
          </w:p>
        </w:tc>
        <w:tc>
          <w:tcPr>
            <w:tcW w:w="1984" w:type="dxa"/>
            <w:tcBorders>
              <w:top w:val="single" w:sz="4" w:space="0" w:color="auto"/>
              <w:left w:val="single" w:sz="4" w:space="0" w:color="auto"/>
              <w:bottom w:val="single" w:sz="4" w:space="0" w:color="auto"/>
              <w:right w:val="single" w:sz="4" w:space="0" w:color="auto"/>
            </w:tcBorders>
          </w:tcPr>
          <w:p w14:paraId="7AA85FD5" w14:textId="2B6B79F8" w:rsidR="00E97685" w:rsidRDefault="00E97685" w:rsidP="00712EB0">
            <w:pPr>
              <w:adjustRightInd/>
              <w:rPr>
                <w:sz w:val="22"/>
              </w:rPr>
            </w:pPr>
            <w:r>
              <w:rPr>
                <w:sz w:val="22"/>
              </w:rPr>
              <w:t>£1,000</w:t>
            </w:r>
          </w:p>
        </w:tc>
        <w:tc>
          <w:tcPr>
            <w:tcW w:w="2268" w:type="dxa"/>
            <w:tcBorders>
              <w:top w:val="single" w:sz="4" w:space="0" w:color="auto"/>
              <w:left w:val="single" w:sz="4" w:space="0" w:color="auto"/>
              <w:bottom w:val="single" w:sz="4" w:space="0" w:color="auto"/>
              <w:right w:val="single" w:sz="4" w:space="0" w:color="auto"/>
            </w:tcBorders>
          </w:tcPr>
          <w:p w14:paraId="28717746" w14:textId="20194DDB" w:rsidR="00E97685" w:rsidRDefault="00E97685" w:rsidP="00133301">
            <w:pPr>
              <w:adjustRightInd/>
              <w:rPr>
                <w:sz w:val="22"/>
              </w:rPr>
            </w:pPr>
            <w:r>
              <w:rPr>
                <w:sz w:val="22"/>
              </w:rPr>
              <w:t>£1,000</w:t>
            </w:r>
          </w:p>
        </w:tc>
        <w:tc>
          <w:tcPr>
            <w:tcW w:w="1843" w:type="dxa"/>
            <w:tcBorders>
              <w:top w:val="single" w:sz="4" w:space="0" w:color="auto"/>
              <w:left w:val="single" w:sz="4" w:space="0" w:color="auto"/>
              <w:bottom w:val="single" w:sz="4" w:space="0" w:color="auto"/>
            </w:tcBorders>
          </w:tcPr>
          <w:p w14:paraId="23F98CE0" w14:textId="0EF246A1" w:rsidR="00E97685" w:rsidRDefault="00E97685" w:rsidP="00133301">
            <w:pPr>
              <w:adjustRightInd/>
              <w:rPr>
                <w:sz w:val="22"/>
              </w:rPr>
            </w:pPr>
            <w:r>
              <w:rPr>
                <w:sz w:val="22"/>
              </w:rPr>
              <w:t>£1,000</w:t>
            </w:r>
          </w:p>
        </w:tc>
      </w:tr>
      <w:tr w:rsidR="00E97685" w:rsidRPr="0044148C" w14:paraId="13111974" w14:textId="77777777" w:rsidTr="009E65A1">
        <w:trPr>
          <w:trHeight w:val="467"/>
        </w:trPr>
        <w:tc>
          <w:tcPr>
            <w:tcW w:w="1696" w:type="dxa"/>
            <w:tcBorders>
              <w:top w:val="single" w:sz="4" w:space="0" w:color="auto"/>
              <w:bottom w:val="single" w:sz="4" w:space="0" w:color="auto"/>
              <w:right w:val="single" w:sz="4" w:space="0" w:color="auto"/>
            </w:tcBorders>
          </w:tcPr>
          <w:p w14:paraId="6D801497" w14:textId="737D786A" w:rsidR="00E97685" w:rsidRPr="0044148C" w:rsidRDefault="00E97685" w:rsidP="00133301">
            <w:pPr>
              <w:adjustRightInd/>
              <w:rPr>
                <w:sz w:val="22"/>
              </w:rPr>
            </w:pPr>
            <w:r>
              <w:rPr>
                <w:sz w:val="22"/>
              </w:rPr>
              <w:t xml:space="preserve">Class A EUR </w:t>
            </w:r>
          </w:p>
          <w:p w14:paraId="65A2DCBD" w14:textId="77777777" w:rsidR="00E97685" w:rsidRPr="0044148C" w:rsidRDefault="00E97685" w:rsidP="00133301">
            <w:pPr>
              <w:adjustRightInd/>
              <w:rPr>
                <w:sz w:val="22"/>
              </w:rPr>
            </w:pPr>
          </w:p>
        </w:tc>
        <w:tc>
          <w:tcPr>
            <w:tcW w:w="993" w:type="dxa"/>
            <w:tcBorders>
              <w:top w:val="single" w:sz="4" w:space="0" w:color="auto"/>
              <w:left w:val="single" w:sz="4" w:space="0" w:color="auto"/>
              <w:bottom w:val="single" w:sz="4" w:space="0" w:color="auto"/>
              <w:right w:val="single" w:sz="4" w:space="0" w:color="auto"/>
            </w:tcBorders>
          </w:tcPr>
          <w:p w14:paraId="33FB307A" w14:textId="77777777" w:rsidR="00E97685" w:rsidRPr="0044148C" w:rsidRDefault="00E97685" w:rsidP="00133301">
            <w:pPr>
              <w:adjustRightInd/>
              <w:rPr>
                <w:sz w:val="22"/>
              </w:rPr>
            </w:pPr>
            <w:r>
              <w:rPr>
                <w:sz w:val="22"/>
              </w:rPr>
              <w:t xml:space="preserve">EUR </w:t>
            </w:r>
          </w:p>
        </w:tc>
        <w:tc>
          <w:tcPr>
            <w:tcW w:w="1701" w:type="dxa"/>
            <w:tcBorders>
              <w:top w:val="single" w:sz="4" w:space="0" w:color="auto"/>
              <w:left w:val="single" w:sz="4" w:space="0" w:color="auto"/>
              <w:bottom w:val="single" w:sz="4" w:space="0" w:color="auto"/>
              <w:right w:val="single" w:sz="4" w:space="0" w:color="auto"/>
            </w:tcBorders>
          </w:tcPr>
          <w:p w14:paraId="467F8ECA" w14:textId="1361DFE8" w:rsidR="00E97685" w:rsidRPr="0044148C" w:rsidRDefault="00E97685" w:rsidP="00133301">
            <w:pPr>
              <w:adjustRightInd/>
              <w:rPr>
                <w:sz w:val="22"/>
              </w:rPr>
            </w:pPr>
            <w:r>
              <w:rPr>
                <w:sz w:val="22"/>
              </w:rPr>
              <w:t>Yes</w:t>
            </w:r>
          </w:p>
          <w:p w14:paraId="2695A663" w14:textId="77777777" w:rsidR="00E97685" w:rsidRPr="0044148C" w:rsidRDefault="00E97685" w:rsidP="00133301">
            <w:pPr>
              <w:adjustRightInd/>
              <w:rPr>
                <w:sz w:val="22"/>
              </w:rPr>
            </w:pPr>
          </w:p>
        </w:tc>
        <w:tc>
          <w:tcPr>
            <w:tcW w:w="1417" w:type="dxa"/>
            <w:tcBorders>
              <w:top w:val="single" w:sz="4" w:space="0" w:color="auto"/>
              <w:left w:val="single" w:sz="4" w:space="0" w:color="auto"/>
              <w:bottom w:val="single" w:sz="4" w:space="0" w:color="auto"/>
              <w:right w:val="single" w:sz="4" w:space="0" w:color="auto"/>
            </w:tcBorders>
          </w:tcPr>
          <w:p w14:paraId="0B189553" w14:textId="30057402" w:rsidR="00E97685" w:rsidRDefault="00E97685" w:rsidP="00133301">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561CF6FC" w14:textId="0C67F46C" w:rsidR="00E97685" w:rsidRPr="0044148C" w:rsidRDefault="00E97685" w:rsidP="00133301">
            <w:pPr>
              <w:adjustRightInd/>
              <w:rPr>
                <w:sz w:val="22"/>
              </w:rPr>
            </w:pPr>
            <w:r>
              <w:rPr>
                <w:sz w:val="22"/>
              </w:rPr>
              <w:t>Open</w:t>
            </w:r>
          </w:p>
          <w:p w14:paraId="303C0547" w14:textId="77777777" w:rsidR="00E97685" w:rsidRPr="0044148C" w:rsidRDefault="00E97685" w:rsidP="00133301">
            <w:pPr>
              <w:adjustRightInd/>
              <w:rPr>
                <w:sz w:val="22"/>
              </w:rPr>
            </w:pPr>
          </w:p>
        </w:tc>
        <w:tc>
          <w:tcPr>
            <w:tcW w:w="1985" w:type="dxa"/>
            <w:tcBorders>
              <w:top w:val="single" w:sz="4" w:space="0" w:color="auto"/>
              <w:left w:val="single" w:sz="4" w:space="0" w:color="auto"/>
              <w:bottom w:val="single" w:sz="4" w:space="0" w:color="auto"/>
              <w:right w:val="single" w:sz="4" w:space="0" w:color="auto"/>
            </w:tcBorders>
          </w:tcPr>
          <w:p w14:paraId="09A34592" w14:textId="77777777" w:rsidR="00E97685" w:rsidRPr="0044148C" w:rsidRDefault="00E97685" w:rsidP="00133301">
            <w:pPr>
              <w:adjustRightInd/>
              <w:rPr>
                <w:sz w:val="22"/>
              </w:rPr>
            </w:pPr>
            <w:r>
              <w:rPr>
                <w:sz w:val="22"/>
              </w:rPr>
              <w:t>€10</w:t>
            </w:r>
          </w:p>
          <w:p w14:paraId="57B09E2C" w14:textId="77777777" w:rsidR="00E97685" w:rsidRPr="0044148C" w:rsidRDefault="00E97685" w:rsidP="00133301">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2DB0D74D" w14:textId="639B3E7B" w:rsidR="00E97685" w:rsidRPr="0044148C" w:rsidRDefault="00E97685" w:rsidP="00712EB0">
            <w:pPr>
              <w:adjustRightInd/>
              <w:rPr>
                <w:sz w:val="22"/>
              </w:rPr>
            </w:pPr>
            <w:r>
              <w:rPr>
                <w:sz w:val="22"/>
              </w:rPr>
              <w:t>€1,000</w:t>
            </w:r>
          </w:p>
        </w:tc>
        <w:tc>
          <w:tcPr>
            <w:tcW w:w="2268" w:type="dxa"/>
            <w:tcBorders>
              <w:top w:val="single" w:sz="4" w:space="0" w:color="auto"/>
              <w:left w:val="single" w:sz="4" w:space="0" w:color="auto"/>
              <w:bottom w:val="single" w:sz="4" w:space="0" w:color="auto"/>
              <w:right w:val="single" w:sz="4" w:space="0" w:color="auto"/>
            </w:tcBorders>
          </w:tcPr>
          <w:p w14:paraId="74406C3A" w14:textId="77777777" w:rsidR="00E97685" w:rsidRPr="0044148C" w:rsidRDefault="00E97685" w:rsidP="00133301">
            <w:pPr>
              <w:adjustRightInd/>
              <w:rPr>
                <w:sz w:val="22"/>
              </w:rPr>
            </w:pPr>
            <w:r>
              <w:rPr>
                <w:sz w:val="22"/>
              </w:rPr>
              <w:t>€1,000</w:t>
            </w:r>
          </w:p>
        </w:tc>
        <w:tc>
          <w:tcPr>
            <w:tcW w:w="1843" w:type="dxa"/>
            <w:tcBorders>
              <w:top w:val="single" w:sz="4" w:space="0" w:color="auto"/>
              <w:left w:val="single" w:sz="4" w:space="0" w:color="auto"/>
              <w:bottom w:val="single" w:sz="4" w:space="0" w:color="auto"/>
            </w:tcBorders>
          </w:tcPr>
          <w:p w14:paraId="6684E34E" w14:textId="77777777" w:rsidR="00E97685" w:rsidRPr="0044148C" w:rsidRDefault="00E97685" w:rsidP="00133301">
            <w:pPr>
              <w:adjustRightInd/>
              <w:rPr>
                <w:sz w:val="22"/>
              </w:rPr>
            </w:pPr>
            <w:r>
              <w:rPr>
                <w:sz w:val="22"/>
              </w:rPr>
              <w:t>€1,000</w:t>
            </w:r>
          </w:p>
        </w:tc>
      </w:tr>
      <w:tr w:rsidR="00E97685" w:rsidRPr="0044148C" w14:paraId="0AED5DF5" w14:textId="77777777" w:rsidTr="009E65A1">
        <w:trPr>
          <w:trHeight w:val="467"/>
        </w:trPr>
        <w:tc>
          <w:tcPr>
            <w:tcW w:w="1696" w:type="dxa"/>
            <w:tcBorders>
              <w:top w:val="single" w:sz="4" w:space="0" w:color="auto"/>
              <w:bottom w:val="single" w:sz="4" w:space="0" w:color="auto"/>
              <w:right w:val="single" w:sz="4" w:space="0" w:color="auto"/>
            </w:tcBorders>
          </w:tcPr>
          <w:p w14:paraId="120A431F" w14:textId="2FBD867F" w:rsidR="00E97685" w:rsidRPr="0044148C" w:rsidRDefault="00E97685" w:rsidP="00133301">
            <w:pPr>
              <w:adjustRightInd/>
              <w:rPr>
                <w:sz w:val="22"/>
              </w:rPr>
            </w:pPr>
            <w:r>
              <w:rPr>
                <w:sz w:val="22"/>
              </w:rPr>
              <w:t xml:space="preserve">Class A CHF </w:t>
            </w:r>
          </w:p>
          <w:p w14:paraId="2EBDB6C8" w14:textId="77777777" w:rsidR="00E97685" w:rsidRPr="0044148C" w:rsidRDefault="00E97685" w:rsidP="00133301">
            <w:pPr>
              <w:adjustRightInd/>
              <w:rPr>
                <w:sz w:val="22"/>
              </w:rPr>
            </w:pPr>
          </w:p>
        </w:tc>
        <w:tc>
          <w:tcPr>
            <w:tcW w:w="993" w:type="dxa"/>
            <w:tcBorders>
              <w:top w:val="single" w:sz="4" w:space="0" w:color="auto"/>
              <w:left w:val="single" w:sz="4" w:space="0" w:color="auto"/>
              <w:bottom w:val="single" w:sz="4" w:space="0" w:color="auto"/>
              <w:right w:val="single" w:sz="4" w:space="0" w:color="auto"/>
            </w:tcBorders>
          </w:tcPr>
          <w:p w14:paraId="3F19EB2D" w14:textId="77777777" w:rsidR="00E97685" w:rsidRPr="0044148C" w:rsidRDefault="00E97685" w:rsidP="00133301">
            <w:pPr>
              <w:adjustRightInd/>
              <w:rPr>
                <w:sz w:val="22"/>
              </w:rPr>
            </w:pPr>
            <w:r>
              <w:rPr>
                <w:sz w:val="22"/>
              </w:rPr>
              <w:t xml:space="preserve">CHF </w:t>
            </w:r>
          </w:p>
        </w:tc>
        <w:tc>
          <w:tcPr>
            <w:tcW w:w="1701" w:type="dxa"/>
            <w:tcBorders>
              <w:top w:val="single" w:sz="4" w:space="0" w:color="auto"/>
              <w:left w:val="single" w:sz="4" w:space="0" w:color="auto"/>
              <w:bottom w:val="single" w:sz="4" w:space="0" w:color="auto"/>
              <w:right w:val="single" w:sz="4" w:space="0" w:color="auto"/>
            </w:tcBorders>
          </w:tcPr>
          <w:p w14:paraId="605FF2FD" w14:textId="11F4E67D" w:rsidR="00E97685" w:rsidRPr="0044148C" w:rsidRDefault="00E97685" w:rsidP="00133301">
            <w:pPr>
              <w:adjustRightInd/>
              <w:rPr>
                <w:sz w:val="22"/>
              </w:rPr>
            </w:pPr>
            <w:r>
              <w:rPr>
                <w:sz w:val="22"/>
              </w:rPr>
              <w:t>Yes</w:t>
            </w:r>
          </w:p>
          <w:p w14:paraId="5BF9C55A" w14:textId="77777777" w:rsidR="00E97685" w:rsidRPr="0044148C" w:rsidRDefault="00E97685" w:rsidP="00133301">
            <w:pPr>
              <w:adjustRightInd/>
              <w:rPr>
                <w:sz w:val="22"/>
              </w:rPr>
            </w:pPr>
          </w:p>
        </w:tc>
        <w:tc>
          <w:tcPr>
            <w:tcW w:w="1417" w:type="dxa"/>
            <w:tcBorders>
              <w:top w:val="single" w:sz="4" w:space="0" w:color="auto"/>
              <w:left w:val="single" w:sz="4" w:space="0" w:color="auto"/>
              <w:bottom w:val="single" w:sz="4" w:space="0" w:color="auto"/>
              <w:right w:val="single" w:sz="4" w:space="0" w:color="auto"/>
            </w:tcBorders>
          </w:tcPr>
          <w:p w14:paraId="36F75874" w14:textId="06086B72" w:rsidR="00E97685" w:rsidRDefault="00E97685" w:rsidP="00133301">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1814E7B0" w14:textId="49254C92" w:rsidR="00E97685" w:rsidRPr="0044148C" w:rsidRDefault="00E97685" w:rsidP="00133301">
            <w:pPr>
              <w:adjustRightInd/>
              <w:rPr>
                <w:sz w:val="22"/>
              </w:rPr>
            </w:pPr>
            <w:r>
              <w:rPr>
                <w:sz w:val="22"/>
              </w:rPr>
              <w:t>Open</w:t>
            </w:r>
          </w:p>
          <w:p w14:paraId="7509042E" w14:textId="77777777" w:rsidR="00E97685" w:rsidRPr="0044148C" w:rsidRDefault="00E97685" w:rsidP="00133301">
            <w:pPr>
              <w:adjustRightInd/>
              <w:rPr>
                <w:sz w:val="22"/>
              </w:rPr>
            </w:pPr>
          </w:p>
        </w:tc>
        <w:tc>
          <w:tcPr>
            <w:tcW w:w="1985" w:type="dxa"/>
            <w:tcBorders>
              <w:top w:val="single" w:sz="4" w:space="0" w:color="auto"/>
              <w:left w:val="single" w:sz="4" w:space="0" w:color="auto"/>
              <w:bottom w:val="single" w:sz="4" w:space="0" w:color="auto"/>
              <w:right w:val="single" w:sz="4" w:space="0" w:color="auto"/>
            </w:tcBorders>
          </w:tcPr>
          <w:p w14:paraId="75F25038" w14:textId="77777777" w:rsidR="00E97685" w:rsidRPr="0044148C" w:rsidRDefault="00E97685" w:rsidP="00133301">
            <w:pPr>
              <w:adjustRightInd/>
              <w:rPr>
                <w:sz w:val="22"/>
              </w:rPr>
            </w:pPr>
            <w:r>
              <w:rPr>
                <w:sz w:val="22"/>
              </w:rPr>
              <w:t>CHF 10</w:t>
            </w:r>
          </w:p>
          <w:p w14:paraId="6BFC69C1" w14:textId="77777777" w:rsidR="00E97685" w:rsidRPr="0044148C" w:rsidRDefault="00E97685" w:rsidP="00133301">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4D72033B" w14:textId="21B3BA40" w:rsidR="00E97685" w:rsidRPr="0044148C" w:rsidRDefault="00E97685" w:rsidP="00712EB0">
            <w:pPr>
              <w:adjustRightInd/>
              <w:rPr>
                <w:sz w:val="22"/>
              </w:rPr>
            </w:pPr>
            <w:r>
              <w:rPr>
                <w:sz w:val="22"/>
              </w:rPr>
              <w:t>CHF1,000</w:t>
            </w:r>
          </w:p>
        </w:tc>
        <w:tc>
          <w:tcPr>
            <w:tcW w:w="2268" w:type="dxa"/>
            <w:tcBorders>
              <w:top w:val="single" w:sz="4" w:space="0" w:color="auto"/>
              <w:left w:val="single" w:sz="4" w:space="0" w:color="auto"/>
              <w:bottom w:val="single" w:sz="4" w:space="0" w:color="auto"/>
              <w:right w:val="single" w:sz="4" w:space="0" w:color="auto"/>
            </w:tcBorders>
          </w:tcPr>
          <w:p w14:paraId="29F2BA7D" w14:textId="77777777" w:rsidR="00E97685" w:rsidRPr="0044148C" w:rsidRDefault="00E97685" w:rsidP="00133301">
            <w:pPr>
              <w:adjustRightInd/>
              <w:rPr>
                <w:sz w:val="22"/>
              </w:rPr>
            </w:pPr>
            <w:r>
              <w:rPr>
                <w:sz w:val="22"/>
              </w:rPr>
              <w:t>CHF 1,000</w:t>
            </w:r>
          </w:p>
        </w:tc>
        <w:tc>
          <w:tcPr>
            <w:tcW w:w="1843" w:type="dxa"/>
            <w:tcBorders>
              <w:top w:val="single" w:sz="4" w:space="0" w:color="auto"/>
              <w:left w:val="single" w:sz="4" w:space="0" w:color="auto"/>
              <w:bottom w:val="single" w:sz="4" w:space="0" w:color="auto"/>
            </w:tcBorders>
          </w:tcPr>
          <w:p w14:paraId="5FE90EE5" w14:textId="77777777" w:rsidR="00E97685" w:rsidRPr="0044148C" w:rsidRDefault="00E97685" w:rsidP="00133301">
            <w:pPr>
              <w:adjustRightInd/>
              <w:rPr>
                <w:sz w:val="22"/>
              </w:rPr>
            </w:pPr>
            <w:r>
              <w:rPr>
                <w:sz w:val="22"/>
              </w:rPr>
              <w:t>CHF 1,000</w:t>
            </w:r>
          </w:p>
        </w:tc>
      </w:tr>
      <w:tr w:rsidR="00645361" w:rsidRPr="0044148C" w14:paraId="778FE03B" w14:textId="77777777" w:rsidTr="009E65A1">
        <w:trPr>
          <w:trHeight w:val="467"/>
        </w:trPr>
        <w:tc>
          <w:tcPr>
            <w:tcW w:w="1696" w:type="dxa"/>
            <w:tcBorders>
              <w:top w:val="single" w:sz="4" w:space="0" w:color="auto"/>
              <w:bottom w:val="single" w:sz="4" w:space="0" w:color="auto"/>
              <w:right w:val="single" w:sz="4" w:space="0" w:color="auto"/>
            </w:tcBorders>
          </w:tcPr>
          <w:p w14:paraId="649F0274" w14:textId="685D1621" w:rsidR="00645361" w:rsidRDefault="00645361" w:rsidP="00645361">
            <w:pPr>
              <w:adjustRightInd/>
              <w:rPr>
                <w:sz w:val="22"/>
              </w:rPr>
            </w:pPr>
            <w:r>
              <w:rPr>
                <w:sz w:val="22"/>
              </w:rPr>
              <w:t>Class B GBP</w:t>
            </w:r>
          </w:p>
          <w:p w14:paraId="63975CF8" w14:textId="7B03BF47" w:rsidR="00645361" w:rsidRDefault="003F4101" w:rsidP="00645361">
            <w:pPr>
              <w:adjustRightInd/>
              <w:rPr>
                <w:sz w:val="22"/>
              </w:rPr>
            </w:pPr>
            <w:r>
              <w:rPr>
                <w:sz w:val="22"/>
              </w:rPr>
              <w:t>(</w:t>
            </w:r>
            <w:r w:rsidR="00645361">
              <w:rPr>
                <w:sz w:val="22"/>
              </w:rPr>
              <w:t>Accumulating</w:t>
            </w:r>
            <w:r>
              <w:rPr>
                <w:sz w:val="22"/>
              </w:rPr>
              <w:t>)</w:t>
            </w:r>
          </w:p>
        </w:tc>
        <w:tc>
          <w:tcPr>
            <w:tcW w:w="993" w:type="dxa"/>
            <w:tcBorders>
              <w:top w:val="single" w:sz="4" w:space="0" w:color="auto"/>
              <w:left w:val="single" w:sz="4" w:space="0" w:color="auto"/>
              <w:bottom w:val="single" w:sz="4" w:space="0" w:color="auto"/>
              <w:right w:val="single" w:sz="4" w:space="0" w:color="auto"/>
            </w:tcBorders>
          </w:tcPr>
          <w:p w14:paraId="40D67015" w14:textId="01BC4B90" w:rsidR="00645361" w:rsidRDefault="00645361" w:rsidP="00645361">
            <w:pPr>
              <w:adjustRightInd/>
              <w:rPr>
                <w:sz w:val="22"/>
              </w:rPr>
            </w:pPr>
            <w:r>
              <w:rPr>
                <w:sz w:val="22"/>
              </w:rPr>
              <w:t>GBP</w:t>
            </w:r>
          </w:p>
        </w:tc>
        <w:tc>
          <w:tcPr>
            <w:tcW w:w="1701" w:type="dxa"/>
            <w:tcBorders>
              <w:top w:val="single" w:sz="4" w:space="0" w:color="auto"/>
              <w:left w:val="single" w:sz="4" w:space="0" w:color="auto"/>
              <w:bottom w:val="single" w:sz="4" w:space="0" w:color="auto"/>
              <w:right w:val="single" w:sz="4" w:space="0" w:color="auto"/>
            </w:tcBorders>
          </w:tcPr>
          <w:p w14:paraId="7D96B53C" w14:textId="3D0F8C4A" w:rsidR="00645361" w:rsidRDefault="00645361" w:rsidP="00645361">
            <w:pPr>
              <w:adjustRightInd/>
              <w:rPr>
                <w:sz w:val="22"/>
              </w:rPr>
            </w:pPr>
            <w:r>
              <w:rPr>
                <w:sz w:val="22"/>
              </w:rPr>
              <w:t>Yes</w:t>
            </w:r>
          </w:p>
        </w:tc>
        <w:tc>
          <w:tcPr>
            <w:tcW w:w="1417" w:type="dxa"/>
            <w:tcBorders>
              <w:top w:val="single" w:sz="4" w:space="0" w:color="auto"/>
              <w:left w:val="single" w:sz="4" w:space="0" w:color="auto"/>
              <w:bottom w:val="single" w:sz="4" w:space="0" w:color="auto"/>
              <w:right w:val="single" w:sz="4" w:space="0" w:color="auto"/>
            </w:tcBorders>
          </w:tcPr>
          <w:p w14:paraId="19B3B64F" w14:textId="1580E006" w:rsidR="00645361" w:rsidRDefault="00645361" w:rsidP="00645361">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1E65C3C0" w14:textId="2DF89490" w:rsidR="00645361" w:rsidRDefault="00645361" w:rsidP="00645361">
            <w:pPr>
              <w:adjustRightInd/>
              <w:rPr>
                <w:sz w:val="22"/>
              </w:rPr>
            </w:pPr>
            <w:r>
              <w:rPr>
                <w:sz w:val="22"/>
              </w:rPr>
              <w:t>Open</w:t>
            </w:r>
          </w:p>
        </w:tc>
        <w:tc>
          <w:tcPr>
            <w:tcW w:w="1985" w:type="dxa"/>
            <w:tcBorders>
              <w:top w:val="single" w:sz="4" w:space="0" w:color="auto"/>
              <w:left w:val="single" w:sz="4" w:space="0" w:color="auto"/>
              <w:bottom w:val="single" w:sz="4" w:space="0" w:color="auto"/>
              <w:right w:val="single" w:sz="4" w:space="0" w:color="auto"/>
            </w:tcBorders>
          </w:tcPr>
          <w:p w14:paraId="11DC3285" w14:textId="77777777" w:rsidR="00BF7ACB" w:rsidRPr="0044148C" w:rsidRDefault="00BF7ACB" w:rsidP="00BF7ACB">
            <w:pPr>
              <w:adjustRightInd/>
              <w:rPr>
                <w:sz w:val="22"/>
              </w:rPr>
            </w:pPr>
            <w:r>
              <w:rPr>
                <w:sz w:val="22"/>
              </w:rPr>
              <w:t>£10</w:t>
            </w:r>
          </w:p>
          <w:p w14:paraId="4113686E" w14:textId="61FF152C" w:rsidR="00645361" w:rsidRDefault="00645361" w:rsidP="00645361">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209A08F9" w14:textId="33000736" w:rsidR="00645361" w:rsidRDefault="00BF7ACB" w:rsidP="00645361">
            <w:pPr>
              <w:adjustRightInd/>
              <w:rPr>
                <w:sz w:val="22"/>
              </w:rPr>
            </w:pPr>
            <w:r>
              <w:rPr>
                <w:sz w:val="22"/>
              </w:rPr>
              <w:t>£1,000</w:t>
            </w:r>
          </w:p>
        </w:tc>
        <w:tc>
          <w:tcPr>
            <w:tcW w:w="2268" w:type="dxa"/>
            <w:tcBorders>
              <w:top w:val="single" w:sz="4" w:space="0" w:color="auto"/>
              <w:left w:val="single" w:sz="4" w:space="0" w:color="auto"/>
              <w:bottom w:val="single" w:sz="4" w:space="0" w:color="auto"/>
              <w:right w:val="single" w:sz="4" w:space="0" w:color="auto"/>
            </w:tcBorders>
          </w:tcPr>
          <w:p w14:paraId="5056F719" w14:textId="488A263F" w:rsidR="00645361" w:rsidRDefault="00BF7ACB" w:rsidP="00645361">
            <w:pPr>
              <w:adjustRightInd/>
              <w:rPr>
                <w:sz w:val="22"/>
              </w:rPr>
            </w:pPr>
            <w:r>
              <w:rPr>
                <w:sz w:val="22"/>
              </w:rPr>
              <w:t>£1,000</w:t>
            </w:r>
          </w:p>
        </w:tc>
        <w:tc>
          <w:tcPr>
            <w:tcW w:w="1843" w:type="dxa"/>
            <w:tcBorders>
              <w:top w:val="single" w:sz="4" w:space="0" w:color="auto"/>
              <w:left w:val="single" w:sz="4" w:space="0" w:color="auto"/>
              <w:bottom w:val="single" w:sz="4" w:space="0" w:color="auto"/>
            </w:tcBorders>
          </w:tcPr>
          <w:p w14:paraId="33524E3A" w14:textId="0BD6EC3D" w:rsidR="00645361" w:rsidRDefault="00BF7ACB" w:rsidP="00645361">
            <w:pPr>
              <w:adjustRightInd/>
              <w:rPr>
                <w:sz w:val="22"/>
              </w:rPr>
            </w:pPr>
            <w:r>
              <w:rPr>
                <w:sz w:val="22"/>
              </w:rPr>
              <w:t>£1,000</w:t>
            </w:r>
          </w:p>
        </w:tc>
      </w:tr>
      <w:tr w:rsidR="00A357A4" w:rsidRPr="0044148C" w14:paraId="4D4455D6" w14:textId="77777777" w:rsidTr="009E65A1">
        <w:trPr>
          <w:trHeight w:val="467"/>
        </w:trPr>
        <w:tc>
          <w:tcPr>
            <w:tcW w:w="1696" w:type="dxa"/>
            <w:tcBorders>
              <w:top w:val="single" w:sz="4" w:space="0" w:color="auto"/>
              <w:bottom w:val="single" w:sz="4" w:space="0" w:color="auto"/>
              <w:right w:val="single" w:sz="4" w:space="0" w:color="auto"/>
            </w:tcBorders>
          </w:tcPr>
          <w:p w14:paraId="7976659B" w14:textId="68FB9757" w:rsidR="00A357A4" w:rsidRDefault="00A357A4" w:rsidP="00A357A4">
            <w:pPr>
              <w:adjustRightInd/>
              <w:rPr>
                <w:sz w:val="22"/>
              </w:rPr>
            </w:pPr>
            <w:r>
              <w:rPr>
                <w:sz w:val="22"/>
              </w:rPr>
              <w:t>Class C USD (Accumulating)</w:t>
            </w:r>
          </w:p>
        </w:tc>
        <w:tc>
          <w:tcPr>
            <w:tcW w:w="993" w:type="dxa"/>
            <w:tcBorders>
              <w:top w:val="single" w:sz="4" w:space="0" w:color="auto"/>
              <w:left w:val="single" w:sz="4" w:space="0" w:color="auto"/>
              <w:bottom w:val="single" w:sz="4" w:space="0" w:color="auto"/>
              <w:right w:val="single" w:sz="4" w:space="0" w:color="auto"/>
            </w:tcBorders>
          </w:tcPr>
          <w:p w14:paraId="4E24F387" w14:textId="32957B8D" w:rsidR="00A357A4" w:rsidRDefault="00A357A4" w:rsidP="00A357A4">
            <w:pPr>
              <w:adjustRightInd/>
              <w:rPr>
                <w:sz w:val="22"/>
              </w:rPr>
            </w:pPr>
            <w:r>
              <w:rPr>
                <w:sz w:val="22"/>
              </w:rPr>
              <w:t>USD</w:t>
            </w:r>
          </w:p>
        </w:tc>
        <w:tc>
          <w:tcPr>
            <w:tcW w:w="1701" w:type="dxa"/>
            <w:tcBorders>
              <w:top w:val="single" w:sz="4" w:space="0" w:color="auto"/>
              <w:left w:val="single" w:sz="4" w:space="0" w:color="auto"/>
              <w:bottom w:val="single" w:sz="4" w:space="0" w:color="auto"/>
              <w:right w:val="single" w:sz="4" w:space="0" w:color="auto"/>
            </w:tcBorders>
          </w:tcPr>
          <w:p w14:paraId="7A9F6492" w14:textId="6B539C8A" w:rsidR="00A357A4" w:rsidRDefault="00A357A4" w:rsidP="00A357A4">
            <w:pPr>
              <w:adjustRightInd/>
              <w:rPr>
                <w:sz w:val="22"/>
              </w:rPr>
            </w:pPr>
            <w:r>
              <w:rPr>
                <w:sz w:val="22"/>
              </w:rPr>
              <w:t>Yes</w:t>
            </w:r>
          </w:p>
        </w:tc>
        <w:tc>
          <w:tcPr>
            <w:tcW w:w="1417" w:type="dxa"/>
            <w:tcBorders>
              <w:top w:val="single" w:sz="4" w:space="0" w:color="auto"/>
              <w:left w:val="single" w:sz="4" w:space="0" w:color="auto"/>
              <w:bottom w:val="single" w:sz="4" w:space="0" w:color="auto"/>
              <w:right w:val="single" w:sz="4" w:space="0" w:color="auto"/>
            </w:tcBorders>
          </w:tcPr>
          <w:p w14:paraId="4FE22FC5" w14:textId="14E9214A" w:rsidR="00A357A4" w:rsidRDefault="00A357A4" w:rsidP="00A357A4">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334F86C9" w14:textId="5E8D9F5D" w:rsidR="00A357A4" w:rsidRDefault="00A357A4" w:rsidP="00A357A4">
            <w:pPr>
              <w:adjustRightInd/>
              <w:rPr>
                <w:sz w:val="22"/>
              </w:rPr>
            </w:pPr>
            <w:r>
              <w:rPr>
                <w:sz w:val="22"/>
              </w:rPr>
              <w:t>Open</w:t>
            </w:r>
          </w:p>
        </w:tc>
        <w:tc>
          <w:tcPr>
            <w:tcW w:w="1985" w:type="dxa"/>
            <w:tcBorders>
              <w:top w:val="single" w:sz="4" w:space="0" w:color="auto"/>
              <w:left w:val="single" w:sz="4" w:space="0" w:color="auto"/>
              <w:bottom w:val="single" w:sz="4" w:space="0" w:color="auto"/>
              <w:right w:val="single" w:sz="4" w:space="0" w:color="auto"/>
            </w:tcBorders>
          </w:tcPr>
          <w:p w14:paraId="6855FC17" w14:textId="77777777" w:rsidR="00A357A4" w:rsidRPr="0044148C" w:rsidRDefault="00A357A4" w:rsidP="00A357A4">
            <w:pPr>
              <w:adjustRightInd/>
              <w:rPr>
                <w:sz w:val="22"/>
              </w:rPr>
            </w:pPr>
            <w:r>
              <w:rPr>
                <w:sz w:val="22"/>
              </w:rPr>
              <w:t>$10</w:t>
            </w:r>
          </w:p>
          <w:p w14:paraId="0CF2AE48" w14:textId="77777777" w:rsidR="00A357A4" w:rsidRDefault="00A357A4" w:rsidP="00A357A4">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5514AACA" w14:textId="1C30A6C1" w:rsidR="00A357A4" w:rsidRDefault="00A357A4" w:rsidP="00A357A4">
            <w:pPr>
              <w:adjustRightInd/>
              <w:rPr>
                <w:sz w:val="22"/>
              </w:rPr>
            </w:pPr>
            <w:r>
              <w:rPr>
                <w:sz w:val="22"/>
              </w:rPr>
              <w:t>$5,000,000</w:t>
            </w:r>
          </w:p>
        </w:tc>
        <w:tc>
          <w:tcPr>
            <w:tcW w:w="2268" w:type="dxa"/>
            <w:tcBorders>
              <w:top w:val="single" w:sz="4" w:space="0" w:color="auto"/>
              <w:left w:val="single" w:sz="4" w:space="0" w:color="auto"/>
              <w:bottom w:val="single" w:sz="4" w:space="0" w:color="auto"/>
              <w:right w:val="single" w:sz="4" w:space="0" w:color="auto"/>
            </w:tcBorders>
          </w:tcPr>
          <w:p w14:paraId="14E8EEC9" w14:textId="432B9DD7" w:rsidR="00A357A4" w:rsidRDefault="00A357A4" w:rsidP="00A357A4">
            <w:pPr>
              <w:adjustRightInd/>
              <w:rPr>
                <w:sz w:val="22"/>
              </w:rPr>
            </w:pPr>
            <w:r>
              <w:rPr>
                <w:sz w:val="22"/>
              </w:rPr>
              <w:t>$5,000,000</w:t>
            </w:r>
          </w:p>
        </w:tc>
        <w:tc>
          <w:tcPr>
            <w:tcW w:w="1843" w:type="dxa"/>
            <w:tcBorders>
              <w:top w:val="single" w:sz="4" w:space="0" w:color="auto"/>
              <w:left w:val="single" w:sz="4" w:space="0" w:color="auto"/>
              <w:bottom w:val="single" w:sz="4" w:space="0" w:color="auto"/>
            </w:tcBorders>
          </w:tcPr>
          <w:p w14:paraId="471D61F9" w14:textId="7CCE8F11" w:rsidR="00A357A4" w:rsidRDefault="00A357A4" w:rsidP="00A357A4">
            <w:pPr>
              <w:adjustRightInd/>
              <w:rPr>
                <w:sz w:val="22"/>
              </w:rPr>
            </w:pPr>
            <w:r>
              <w:rPr>
                <w:sz w:val="22"/>
              </w:rPr>
              <w:t>$1,000</w:t>
            </w:r>
          </w:p>
        </w:tc>
      </w:tr>
      <w:tr w:rsidR="00A357A4" w:rsidRPr="0044148C" w14:paraId="2BDDCE9B" w14:textId="77777777" w:rsidTr="009E65A1">
        <w:trPr>
          <w:trHeight w:val="467"/>
        </w:trPr>
        <w:tc>
          <w:tcPr>
            <w:tcW w:w="1696" w:type="dxa"/>
            <w:tcBorders>
              <w:top w:val="single" w:sz="4" w:space="0" w:color="auto"/>
              <w:bottom w:val="single" w:sz="4" w:space="0" w:color="auto"/>
              <w:right w:val="single" w:sz="4" w:space="0" w:color="auto"/>
            </w:tcBorders>
          </w:tcPr>
          <w:p w14:paraId="139165F3" w14:textId="25212210" w:rsidR="00A357A4" w:rsidRDefault="00A357A4" w:rsidP="00A357A4">
            <w:pPr>
              <w:adjustRightInd/>
              <w:rPr>
                <w:sz w:val="22"/>
              </w:rPr>
            </w:pPr>
            <w:r>
              <w:rPr>
                <w:sz w:val="22"/>
              </w:rPr>
              <w:t>Class C GBP (Accumulating)</w:t>
            </w:r>
          </w:p>
        </w:tc>
        <w:tc>
          <w:tcPr>
            <w:tcW w:w="993" w:type="dxa"/>
            <w:tcBorders>
              <w:top w:val="single" w:sz="4" w:space="0" w:color="auto"/>
              <w:left w:val="single" w:sz="4" w:space="0" w:color="auto"/>
              <w:bottom w:val="single" w:sz="4" w:space="0" w:color="auto"/>
              <w:right w:val="single" w:sz="4" w:space="0" w:color="auto"/>
            </w:tcBorders>
          </w:tcPr>
          <w:p w14:paraId="4C00DC8A" w14:textId="53E5D117" w:rsidR="00A357A4" w:rsidRDefault="00A357A4" w:rsidP="00A357A4">
            <w:pPr>
              <w:adjustRightInd/>
              <w:rPr>
                <w:sz w:val="22"/>
              </w:rPr>
            </w:pPr>
            <w:r>
              <w:rPr>
                <w:sz w:val="22"/>
              </w:rPr>
              <w:t>GBP</w:t>
            </w:r>
          </w:p>
        </w:tc>
        <w:tc>
          <w:tcPr>
            <w:tcW w:w="1701" w:type="dxa"/>
            <w:tcBorders>
              <w:top w:val="single" w:sz="4" w:space="0" w:color="auto"/>
              <w:left w:val="single" w:sz="4" w:space="0" w:color="auto"/>
              <w:bottom w:val="single" w:sz="4" w:space="0" w:color="auto"/>
              <w:right w:val="single" w:sz="4" w:space="0" w:color="auto"/>
            </w:tcBorders>
          </w:tcPr>
          <w:p w14:paraId="58197BFD" w14:textId="7B6D6322" w:rsidR="00A357A4" w:rsidRDefault="00A357A4" w:rsidP="00A357A4">
            <w:pPr>
              <w:adjustRightInd/>
              <w:rPr>
                <w:sz w:val="22"/>
              </w:rPr>
            </w:pPr>
            <w:r>
              <w:rPr>
                <w:sz w:val="22"/>
              </w:rPr>
              <w:t>Yes</w:t>
            </w:r>
          </w:p>
        </w:tc>
        <w:tc>
          <w:tcPr>
            <w:tcW w:w="1417" w:type="dxa"/>
            <w:tcBorders>
              <w:top w:val="single" w:sz="4" w:space="0" w:color="auto"/>
              <w:left w:val="single" w:sz="4" w:space="0" w:color="auto"/>
              <w:bottom w:val="single" w:sz="4" w:space="0" w:color="auto"/>
              <w:right w:val="single" w:sz="4" w:space="0" w:color="auto"/>
            </w:tcBorders>
          </w:tcPr>
          <w:p w14:paraId="64B67B4A" w14:textId="1E8DDA5C" w:rsidR="00A357A4" w:rsidRDefault="00A357A4" w:rsidP="00A357A4">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47A4B2AE" w14:textId="6F4896D7" w:rsidR="00A357A4" w:rsidRDefault="00A357A4" w:rsidP="00A357A4">
            <w:pPr>
              <w:adjustRightInd/>
              <w:rPr>
                <w:sz w:val="22"/>
              </w:rPr>
            </w:pPr>
            <w:r>
              <w:rPr>
                <w:sz w:val="22"/>
              </w:rPr>
              <w:t>Open</w:t>
            </w:r>
          </w:p>
        </w:tc>
        <w:tc>
          <w:tcPr>
            <w:tcW w:w="1985" w:type="dxa"/>
            <w:tcBorders>
              <w:top w:val="single" w:sz="4" w:space="0" w:color="auto"/>
              <w:left w:val="single" w:sz="4" w:space="0" w:color="auto"/>
              <w:bottom w:val="single" w:sz="4" w:space="0" w:color="auto"/>
              <w:right w:val="single" w:sz="4" w:space="0" w:color="auto"/>
            </w:tcBorders>
          </w:tcPr>
          <w:p w14:paraId="306D05F8" w14:textId="77777777" w:rsidR="00A357A4" w:rsidRPr="0044148C" w:rsidRDefault="00A357A4" w:rsidP="00A357A4">
            <w:pPr>
              <w:adjustRightInd/>
              <w:rPr>
                <w:sz w:val="22"/>
              </w:rPr>
            </w:pPr>
            <w:r>
              <w:rPr>
                <w:sz w:val="22"/>
              </w:rPr>
              <w:t>£10</w:t>
            </w:r>
          </w:p>
          <w:p w14:paraId="14678D2A" w14:textId="77777777" w:rsidR="00A357A4" w:rsidRDefault="00A357A4" w:rsidP="00A357A4">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639F3077" w14:textId="4CA4E9EC" w:rsidR="00A357A4" w:rsidRDefault="00A357A4" w:rsidP="00A357A4">
            <w:pPr>
              <w:adjustRightInd/>
              <w:rPr>
                <w:sz w:val="22"/>
              </w:rPr>
            </w:pPr>
            <w:r>
              <w:rPr>
                <w:sz w:val="22"/>
              </w:rPr>
              <w:t>£5,000,000</w:t>
            </w:r>
          </w:p>
        </w:tc>
        <w:tc>
          <w:tcPr>
            <w:tcW w:w="2268" w:type="dxa"/>
            <w:tcBorders>
              <w:top w:val="single" w:sz="4" w:space="0" w:color="auto"/>
              <w:left w:val="single" w:sz="4" w:space="0" w:color="auto"/>
              <w:bottom w:val="single" w:sz="4" w:space="0" w:color="auto"/>
              <w:right w:val="single" w:sz="4" w:space="0" w:color="auto"/>
            </w:tcBorders>
          </w:tcPr>
          <w:p w14:paraId="6D132583" w14:textId="448937DC" w:rsidR="00A357A4" w:rsidRDefault="00A357A4" w:rsidP="00A357A4">
            <w:pPr>
              <w:adjustRightInd/>
              <w:rPr>
                <w:sz w:val="22"/>
              </w:rPr>
            </w:pPr>
            <w:r>
              <w:rPr>
                <w:sz w:val="22"/>
              </w:rPr>
              <w:t>£5,000,000</w:t>
            </w:r>
          </w:p>
        </w:tc>
        <w:tc>
          <w:tcPr>
            <w:tcW w:w="1843" w:type="dxa"/>
            <w:tcBorders>
              <w:top w:val="single" w:sz="4" w:space="0" w:color="auto"/>
              <w:left w:val="single" w:sz="4" w:space="0" w:color="auto"/>
              <w:bottom w:val="single" w:sz="4" w:space="0" w:color="auto"/>
            </w:tcBorders>
          </w:tcPr>
          <w:p w14:paraId="1292FC18" w14:textId="4910C696" w:rsidR="00A357A4" w:rsidRDefault="00A357A4" w:rsidP="00A357A4">
            <w:pPr>
              <w:adjustRightInd/>
              <w:rPr>
                <w:sz w:val="22"/>
              </w:rPr>
            </w:pPr>
            <w:r>
              <w:rPr>
                <w:sz w:val="22"/>
              </w:rPr>
              <w:t>£1,000</w:t>
            </w:r>
          </w:p>
        </w:tc>
      </w:tr>
      <w:tr w:rsidR="00A357A4" w:rsidRPr="0044148C" w14:paraId="001416D1" w14:textId="77777777" w:rsidTr="009E65A1">
        <w:trPr>
          <w:trHeight w:val="467"/>
        </w:trPr>
        <w:tc>
          <w:tcPr>
            <w:tcW w:w="1696" w:type="dxa"/>
            <w:tcBorders>
              <w:top w:val="single" w:sz="4" w:space="0" w:color="auto"/>
              <w:bottom w:val="single" w:sz="4" w:space="0" w:color="auto"/>
              <w:right w:val="single" w:sz="4" w:space="0" w:color="auto"/>
            </w:tcBorders>
          </w:tcPr>
          <w:p w14:paraId="116FE397" w14:textId="1F910C78" w:rsidR="00A357A4" w:rsidRDefault="00A357A4" w:rsidP="00A357A4">
            <w:pPr>
              <w:adjustRightInd/>
              <w:rPr>
                <w:sz w:val="22"/>
              </w:rPr>
            </w:pPr>
            <w:r>
              <w:rPr>
                <w:sz w:val="22"/>
              </w:rPr>
              <w:t>Class C EUR (Accumulating)</w:t>
            </w:r>
          </w:p>
        </w:tc>
        <w:tc>
          <w:tcPr>
            <w:tcW w:w="993" w:type="dxa"/>
            <w:tcBorders>
              <w:top w:val="single" w:sz="4" w:space="0" w:color="auto"/>
              <w:left w:val="single" w:sz="4" w:space="0" w:color="auto"/>
              <w:bottom w:val="single" w:sz="4" w:space="0" w:color="auto"/>
              <w:right w:val="single" w:sz="4" w:space="0" w:color="auto"/>
            </w:tcBorders>
          </w:tcPr>
          <w:p w14:paraId="0C7AD740" w14:textId="22740792" w:rsidR="00A357A4" w:rsidRDefault="00A357A4" w:rsidP="00A357A4">
            <w:pPr>
              <w:adjustRightInd/>
              <w:rPr>
                <w:sz w:val="22"/>
              </w:rPr>
            </w:pPr>
            <w:r>
              <w:rPr>
                <w:sz w:val="22"/>
              </w:rPr>
              <w:t>EUR</w:t>
            </w:r>
          </w:p>
        </w:tc>
        <w:tc>
          <w:tcPr>
            <w:tcW w:w="1701" w:type="dxa"/>
            <w:tcBorders>
              <w:top w:val="single" w:sz="4" w:space="0" w:color="auto"/>
              <w:left w:val="single" w:sz="4" w:space="0" w:color="auto"/>
              <w:bottom w:val="single" w:sz="4" w:space="0" w:color="auto"/>
              <w:right w:val="single" w:sz="4" w:space="0" w:color="auto"/>
            </w:tcBorders>
          </w:tcPr>
          <w:p w14:paraId="5FA058FC" w14:textId="7DD53E95" w:rsidR="00A357A4" w:rsidRDefault="00A357A4" w:rsidP="00A357A4">
            <w:pPr>
              <w:adjustRightInd/>
              <w:rPr>
                <w:sz w:val="22"/>
              </w:rPr>
            </w:pPr>
            <w:r>
              <w:rPr>
                <w:sz w:val="22"/>
              </w:rPr>
              <w:t>Yes</w:t>
            </w:r>
          </w:p>
        </w:tc>
        <w:tc>
          <w:tcPr>
            <w:tcW w:w="1417" w:type="dxa"/>
            <w:tcBorders>
              <w:top w:val="single" w:sz="4" w:space="0" w:color="auto"/>
              <w:left w:val="single" w:sz="4" w:space="0" w:color="auto"/>
              <w:bottom w:val="single" w:sz="4" w:space="0" w:color="auto"/>
              <w:right w:val="single" w:sz="4" w:space="0" w:color="auto"/>
            </w:tcBorders>
          </w:tcPr>
          <w:p w14:paraId="2582B83B" w14:textId="003A4300" w:rsidR="00A357A4" w:rsidRDefault="00A357A4" w:rsidP="00A357A4">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22E26C81" w14:textId="3ED1B4BF" w:rsidR="00A357A4" w:rsidRDefault="00A357A4" w:rsidP="00A357A4">
            <w:pPr>
              <w:adjustRightInd/>
              <w:rPr>
                <w:sz w:val="22"/>
              </w:rPr>
            </w:pPr>
            <w:r>
              <w:rPr>
                <w:sz w:val="22"/>
              </w:rPr>
              <w:t>Open</w:t>
            </w:r>
          </w:p>
        </w:tc>
        <w:tc>
          <w:tcPr>
            <w:tcW w:w="1985" w:type="dxa"/>
            <w:tcBorders>
              <w:top w:val="single" w:sz="4" w:space="0" w:color="auto"/>
              <w:left w:val="single" w:sz="4" w:space="0" w:color="auto"/>
              <w:bottom w:val="single" w:sz="4" w:space="0" w:color="auto"/>
              <w:right w:val="single" w:sz="4" w:space="0" w:color="auto"/>
            </w:tcBorders>
          </w:tcPr>
          <w:p w14:paraId="159D5370" w14:textId="77777777" w:rsidR="00A357A4" w:rsidRPr="0044148C" w:rsidRDefault="00A357A4" w:rsidP="00A357A4">
            <w:pPr>
              <w:adjustRightInd/>
              <w:rPr>
                <w:sz w:val="22"/>
              </w:rPr>
            </w:pPr>
            <w:r>
              <w:rPr>
                <w:sz w:val="22"/>
              </w:rPr>
              <w:t>€10</w:t>
            </w:r>
          </w:p>
          <w:p w14:paraId="636945C3" w14:textId="77777777" w:rsidR="00A357A4" w:rsidRDefault="00A357A4" w:rsidP="00A357A4">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58A62CD2" w14:textId="10B27699" w:rsidR="00A357A4" w:rsidRDefault="00A357A4" w:rsidP="00A357A4">
            <w:pPr>
              <w:adjustRightInd/>
              <w:rPr>
                <w:sz w:val="22"/>
              </w:rPr>
            </w:pPr>
            <w:r>
              <w:rPr>
                <w:sz w:val="22"/>
              </w:rPr>
              <w:t>€5,000,000</w:t>
            </w:r>
          </w:p>
        </w:tc>
        <w:tc>
          <w:tcPr>
            <w:tcW w:w="2268" w:type="dxa"/>
            <w:tcBorders>
              <w:top w:val="single" w:sz="4" w:space="0" w:color="auto"/>
              <w:left w:val="single" w:sz="4" w:space="0" w:color="auto"/>
              <w:bottom w:val="single" w:sz="4" w:space="0" w:color="auto"/>
              <w:right w:val="single" w:sz="4" w:space="0" w:color="auto"/>
            </w:tcBorders>
          </w:tcPr>
          <w:p w14:paraId="7A124C1A" w14:textId="7505EAF5" w:rsidR="00A357A4" w:rsidRDefault="00A357A4" w:rsidP="00A357A4">
            <w:pPr>
              <w:adjustRightInd/>
              <w:rPr>
                <w:sz w:val="22"/>
              </w:rPr>
            </w:pPr>
            <w:r>
              <w:rPr>
                <w:sz w:val="22"/>
              </w:rPr>
              <w:t>€5,000,000</w:t>
            </w:r>
          </w:p>
        </w:tc>
        <w:tc>
          <w:tcPr>
            <w:tcW w:w="1843" w:type="dxa"/>
            <w:tcBorders>
              <w:top w:val="single" w:sz="4" w:space="0" w:color="auto"/>
              <w:left w:val="single" w:sz="4" w:space="0" w:color="auto"/>
              <w:bottom w:val="single" w:sz="4" w:space="0" w:color="auto"/>
            </w:tcBorders>
          </w:tcPr>
          <w:p w14:paraId="2AFE7D27" w14:textId="34D432DA" w:rsidR="00A357A4" w:rsidRDefault="00A357A4" w:rsidP="00A357A4">
            <w:pPr>
              <w:adjustRightInd/>
              <w:rPr>
                <w:sz w:val="22"/>
              </w:rPr>
            </w:pPr>
            <w:r>
              <w:rPr>
                <w:sz w:val="22"/>
              </w:rPr>
              <w:t>€1,000</w:t>
            </w:r>
          </w:p>
        </w:tc>
      </w:tr>
      <w:tr w:rsidR="00A357A4" w:rsidRPr="0044148C" w14:paraId="4D56252A" w14:textId="77777777" w:rsidTr="009E65A1">
        <w:trPr>
          <w:trHeight w:val="467"/>
        </w:trPr>
        <w:tc>
          <w:tcPr>
            <w:tcW w:w="1696" w:type="dxa"/>
            <w:tcBorders>
              <w:top w:val="single" w:sz="4" w:space="0" w:color="auto"/>
              <w:bottom w:val="single" w:sz="4" w:space="0" w:color="auto"/>
              <w:right w:val="single" w:sz="4" w:space="0" w:color="auto"/>
            </w:tcBorders>
          </w:tcPr>
          <w:p w14:paraId="4F3A2FA8" w14:textId="77777777" w:rsidR="00A357A4" w:rsidRDefault="00A357A4" w:rsidP="00A357A4">
            <w:pPr>
              <w:adjustRightInd/>
              <w:rPr>
                <w:sz w:val="22"/>
              </w:rPr>
            </w:pPr>
            <w:r>
              <w:rPr>
                <w:sz w:val="22"/>
              </w:rPr>
              <w:t>Founders Share Class USD</w:t>
            </w:r>
          </w:p>
        </w:tc>
        <w:tc>
          <w:tcPr>
            <w:tcW w:w="993" w:type="dxa"/>
            <w:tcBorders>
              <w:top w:val="single" w:sz="4" w:space="0" w:color="auto"/>
              <w:left w:val="single" w:sz="4" w:space="0" w:color="auto"/>
              <w:bottom w:val="single" w:sz="4" w:space="0" w:color="auto"/>
              <w:right w:val="single" w:sz="4" w:space="0" w:color="auto"/>
            </w:tcBorders>
          </w:tcPr>
          <w:p w14:paraId="06432DF4" w14:textId="77777777" w:rsidR="00A357A4" w:rsidRDefault="00A357A4" w:rsidP="00A357A4">
            <w:pPr>
              <w:adjustRightInd/>
              <w:rPr>
                <w:sz w:val="22"/>
              </w:rPr>
            </w:pPr>
            <w:r>
              <w:rPr>
                <w:sz w:val="22"/>
              </w:rPr>
              <w:t>USD</w:t>
            </w:r>
          </w:p>
        </w:tc>
        <w:tc>
          <w:tcPr>
            <w:tcW w:w="1701" w:type="dxa"/>
            <w:tcBorders>
              <w:top w:val="single" w:sz="4" w:space="0" w:color="auto"/>
              <w:left w:val="single" w:sz="4" w:space="0" w:color="auto"/>
              <w:bottom w:val="single" w:sz="4" w:space="0" w:color="auto"/>
              <w:right w:val="single" w:sz="4" w:space="0" w:color="auto"/>
            </w:tcBorders>
          </w:tcPr>
          <w:p w14:paraId="5A46AF06" w14:textId="64A5D902" w:rsidR="00A357A4" w:rsidRDefault="00A357A4" w:rsidP="00A357A4">
            <w:pPr>
              <w:adjustRightInd/>
              <w:rPr>
                <w:sz w:val="22"/>
              </w:rPr>
            </w:pPr>
            <w:r>
              <w:rPr>
                <w:sz w:val="22"/>
              </w:rPr>
              <w:t>Yes</w:t>
            </w:r>
          </w:p>
        </w:tc>
        <w:tc>
          <w:tcPr>
            <w:tcW w:w="1417" w:type="dxa"/>
            <w:tcBorders>
              <w:top w:val="single" w:sz="4" w:space="0" w:color="auto"/>
              <w:left w:val="single" w:sz="4" w:space="0" w:color="auto"/>
              <w:bottom w:val="single" w:sz="4" w:space="0" w:color="auto"/>
              <w:right w:val="single" w:sz="4" w:space="0" w:color="auto"/>
            </w:tcBorders>
          </w:tcPr>
          <w:p w14:paraId="5BD1903D" w14:textId="6F33E64C" w:rsidR="00A357A4" w:rsidRDefault="00A357A4" w:rsidP="00A357A4">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64B55AA9" w14:textId="4F2B9C8F" w:rsidR="00A357A4" w:rsidRDefault="00A357A4" w:rsidP="00A357A4">
            <w:pPr>
              <w:adjustRightInd/>
              <w:rPr>
                <w:sz w:val="22"/>
              </w:rPr>
            </w:pPr>
            <w:r>
              <w:rPr>
                <w:sz w:val="22"/>
              </w:rPr>
              <w:t>Closed</w:t>
            </w:r>
          </w:p>
        </w:tc>
        <w:tc>
          <w:tcPr>
            <w:tcW w:w="1985" w:type="dxa"/>
            <w:tcBorders>
              <w:top w:val="single" w:sz="4" w:space="0" w:color="auto"/>
              <w:left w:val="single" w:sz="4" w:space="0" w:color="auto"/>
              <w:bottom w:val="single" w:sz="4" w:space="0" w:color="auto"/>
              <w:right w:val="single" w:sz="4" w:space="0" w:color="auto"/>
            </w:tcBorders>
          </w:tcPr>
          <w:p w14:paraId="1C63EB4D" w14:textId="77777777" w:rsidR="00A357A4" w:rsidRDefault="00A357A4" w:rsidP="00A357A4">
            <w:pPr>
              <w:adjustRightInd/>
              <w:rPr>
                <w:sz w:val="22"/>
              </w:rPr>
            </w:pPr>
            <w:r>
              <w:rPr>
                <w:sz w:val="22"/>
              </w:rPr>
              <w:t>$10</w:t>
            </w:r>
          </w:p>
        </w:tc>
        <w:tc>
          <w:tcPr>
            <w:tcW w:w="1984" w:type="dxa"/>
            <w:tcBorders>
              <w:top w:val="single" w:sz="4" w:space="0" w:color="auto"/>
              <w:left w:val="single" w:sz="4" w:space="0" w:color="auto"/>
              <w:bottom w:val="single" w:sz="4" w:space="0" w:color="auto"/>
              <w:right w:val="single" w:sz="4" w:space="0" w:color="auto"/>
            </w:tcBorders>
          </w:tcPr>
          <w:p w14:paraId="40469DA6" w14:textId="3F46226A" w:rsidR="00A357A4" w:rsidRDefault="00A357A4" w:rsidP="00A357A4">
            <w:pPr>
              <w:adjustRightInd/>
              <w:rPr>
                <w:sz w:val="22"/>
              </w:rPr>
            </w:pPr>
            <w:r>
              <w:rPr>
                <w:sz w:val="22"/>
              </w:rPr>
              <w:t>$5,000,000</w:t>
            </w:r>
          </w:p>
        </w:tc>
        <w:tc>
          <w:tcPr>
            <w:tcW w:w="2268" w:type="dxa"/>
            <w:tcBorders>
              <w:top w:val="single" w:sz="4" w:space="0" w:color="auto"/>
              <w:left w:val="single" w:sz="4" w:space="0" w:color="auto"/>
              <w:bottom w:val="single" w:sz="4" w:space="0" w:color="auto"/>
              <w:right w:val="single" w:sz="4" w:space="0" w:color="auto"/>
            </w:tcBorders>
          </w:tcPr>
          <w:p w14:paraId="701AB761" w14:textId="1295BF41" w:rsidR="00A357A4" w:rsidRDefault="00A357A4" w:rsidP="00A357A4">
            <w:pPr>
              <w:adjustRightInd/>
              <w:rPr>
                <w:sz w:val="22"/>
              </w:rPr>
            </w:pPr>
            <w:r>
              <w:rPr>
                <w:sz w:val="22"/>
              </w:rPr>
              <w:t>$5,000,000</w:t>
            </w:r>
          </w:p>
        </w:tc>
        <w:tc>
          <w:tcPr>
            <w:tcW w:w="1843" w:type="dxa"/>
            <w:tcBorders>
              <w:top w:val="single" w:sz="4" w:space="0" w:color="auto"/>
              <w:left w:val="single" w:sz="4" w:space="0" w:color="auto"/>
              <w:bottom w:val="single" w:sz="4" w:space="0" w:color="auto"/>
            </w:tcBorders>
          </w:tcPr>
          <w:p w14:paraId="4BF9E86B" w14:textId="46488D64" w:rsidR="00A357A4" w:rsidRDefault="00A357A4" w:rsidP="00A357A4">
            <w:pPr>
              <w:adjustRightInd/>
              <w:rPr>
                <w:sz w:val="22"/>
              </w:rPr>
            </w:pPr>
            <w:r>
              <w:rPr>
                <w:sz w:val="22"/>
              </w:rPr>
              <w:t>$1,000</w:t>
            </w:r>
          </w:p>
        </w:tc>
      </w:tr>
      <w:tr w:rsidR="00A357A4" w:rsidRPr="0044148C" w14:paraId="0646E8AE" w14:textId="77777777" w:rsidTr="009E65A1">
        <w:trPr>
          <w:trHeight w:val="467"/>
        </w:trPr>
        <w:tc>
          <w:tcPr>
            <w:tcW w:w="1696" w:type="dxa"/>
            <w:tcBorders>
              <w:top w:val="single" w:sz="4" w:space="0" w:color="auto"/>
              <w:bottom w:val="single" w:sz="4" w:space="0" w:color="auto"/>
              <w:right w:val="single" w:sz="4" w:space="0" w:color="auto"/>
            </w:tcBorders>
          </w:tcPr>
          <w:p w14:paraId="7CDCA35B" w14:textId="77777777" w:rsidR="00A357A4" w:rsidRPr="0044148C" w:rsidRDefault="00A357A4" w:rsidP="00A357A4">
            <w:pPr>
              <w:adjustRightInd/>
              <w:rPr>
                <w:sz w:val="22"/>
              </w:rPr>
            </w:pPr>
            <w:r>
              <w:rPr>
                <w:sz w:val="22"/>
              </w:rPr>
              <w:t>Founders Share Class GBP</w:t>
            </w:r>
          </w:p>
        </w:tc>
        <w:tc>
          <w:tcPr>
            <w:tcW w:w="993" w:type="dxa"/>
            <w:tcBorders>
              <w:top w:val="single" w:sz="4" w:space="0" w:color="auto"/>
              <w:left w:val="single" w:sz="4" w:space="0" w:color="auto"/>
              <w:bottom w:val="single" w:sz="4" w:space="0" w:color="auto"/>
              <w:right w:val="single" w:sz="4" w:space="0" w:color="auto"/>
            </w:tcBorders>
          </w:tcPr>
          <w:p w14:paraId="3773D7DD" w14:textId="77777777" w:rsidR="00A357A4" w:rsidRPr="0044148C" w:rsidRDefault="00A357A4" w:rsidP="00A357A4">
            <w:pPr>
              <w:adjustRightInd/>
              <w:rPr>
                <w:sz w:val="22"/>
              </w:rPr>
            </w:pPr>
            <w:r>
              <w:rPr>
                <w:sz w:val="22"/>
              </w:rPr>
              <w:t>GBP</w:t>
            </w:r>
          </w:p>
        </w:tc>
        <w:tc>
          <w:tcPr>
            <w:tcW w:w="1701" w:type="dxa"/>
            <w:tcBorders>
              <w:top w:val="single" w:sz="4" w:space="0" w:color="auto"/>
              <w:left w:val="single" w:sz="4" w:space="0" w:color="auto"/>
              <w:bottom w:val="single" w:sz="4" w:space="0" w:color="auto"/>
              <w:right w:val="single" w:sz="4" w:space="0" w:color="auto"/>
            </w:tcBorders>
          </w:tcPr>
          <w:p w14:paraId="722D1239" w14:textId="5637CDEE" w:rsidR="00A357A4" w:rsidRPr="0044148C" w:rsidRDefault="00A357A4" w:rsidP="00A357A4">
            <w:pPr>
              <w:adjustRightInd/>
              <w:rPr>
                <w:sz w:val="22"/>
              </w:rPr>
            </w:pPr>
            <w:r>
              <w:rPr>
                <w:sz w:val="22"/>
              </w:rPr>
              <w:t>Yes</w:t>
            </w:r>
          </w:p>
        </w:tc>
        <w:tc>
          <w:tcPr>
            <w:tcW w:w="1417" w:type="dxa"/>
            <w:tcBorders>
              <w:top w:val="single" w:sz="4" w:space="0" w:color="auto"/>
              <w:left w:val="single" w:sz="4" w:space="0" w:color="auto"/>
              <w:bottom w:val="single" w:sz="4" w:space="0" w:color="auto"/>
              <w:right w:val="single" w:sz="4" w:space="0" w:color="auto"/>
            </w:tcBorders>
          </w:tcPr>
          <w:p w14:paraId="74086E23" w14:textId="4AC4CEB0" w:rsidR="00A357A4" w:rsidRDefault="00A357A4" w:rsidP="00A357A4">
            <w:pPr>
              <w:adjustRightInd/>
              <w:rPr>
                <w:sz w:val="22"/>
              </w:rPr>
            </w:pPr>
            <w:r>
              <w:rPr>
                <w:sz w:val="22"/>
              </w:rPr>
              <w:t>No</w:t>
            </w:r>
          </w:p>
        </w:tc>
        <w:tc>
          <w:tcPr>
            <w:tcW w:w="1559" w:type="dxa"/>
            <w:tcBorders>
              <w:top w:val="single" w:sz="4" w:space="0" w:color="auto"/>
              <w:left w:val="single" w:sz="4" w:space="0" w:color="auto"/>
              <w:bottom w:val="single" w:sz="4" w:space="0" w:color="auto"/>
              <w:right w:val="single" w:sz="4" w:space="0" w:color="auto"/>
            </w:tcBorders>
          </w:tcPr>
          <w:p w14:paraId="462105D9" w14:textId="4D71A6E5" w:rsidR="00A357A4" w:rsidRPr="0044148C" w:rsidRDefault="00A357A4" w:rsidP="00A357A4">
            <w:pPr>
              <w:adjustRightInd/>
              <w:rPr>
                <w:sz w:val="22"/>
              </w:rPr>
            </w:pPr>
            <w:r>
              <w:rPr>
                <w:sz w:val="22"/>
              </w:rPr>
              <w:t>Closed</w:t>
            </w:r>
          </w:p>
          <w:p w14:paraId="7BEA3A75" w14:textId="77777777" w:rsidR="00A357A4" w:rsidRPr="0044148C" w:rsidRDefault="00A357A4" w:rsidP="00A357A4">
            <w:pPr>
              <w:adjustRightInd/>
              <w:rPr>
                <w:sz w:val="22"/>
              </w:rPr>
            </w:pPr>
          </w:p>
        </w:tc>
        <w:tc>
          <w:tcPr>
            <w:tcW w:w="1985" w:type="dxa"/>
            <w:tcBorders>
              <w:top w:val="single" w:sz="4" w:space="0" w:color="auto"/>
              <w:left w:val="single" w:sz="4" w:space="0" w:color="auto"/>
              <w:bottom w:val="single" w:sz="4" w:space="0" w:color="auto"/>
              <w:right w:val="single" w:sz="4" w:space="0" w:color="auto"/>
            </w:tcBorders>
          </w:tcPr>
          <w:p w14:paraId="63D19888" w14:textId="77777777" w:rsidR="00A357A4" w:rsidRPr="0044148C" w:rsidRDefault="00A357A4" w:rsidP="00A357A4">
            <w:pPr>
              <w:adjustRightInd/>
              <w:rPr>
                <w:sz w:val="22"/>
              </w:rPr>
            </w:pPr>
            <w:r>
              <w:rPr>
                <w:sz w:val="22"/>
              </w:rPr>
              <w:t>£10</w:t>
            </w:r>
          </w:p>
          <w:p w14:paraId="7AD58753" w14:textId="77777777" w:rsidR="00A357A4" w:rsidRPr="0044148C" w:rsidRDefault="00A357A4" w:rsidP="00A357A4">
            <w:pPr>
              <w:adjustRightInd/>
              <w:rPr>
                <w:sz w:val="22"/>
              </w:rPr>
            </w:pPr>
          </w:p>
        </w:tc>
        <w:tc>
          <w:tcPr>
            <w:tcW w:w="1984" w:type="dxa"/>
            <w:tcBorders>
              <w:top w:val="single" w:sz="4" w:space="0" w:color="auto"/>
              <w:left w:val="single" w:sz="4" w:space="0" w:color="auto"/>
              <w:bottom w:val="single" w:sz="4" w:space="0" w:color="auto"/>
              <w:right w:val="single" w:sz="4" w:space="0" w:color="auto"/>
            </w:tcBorders>
          </w:tcPr>
          <w:p w14:paraId="6CB566E6" w14:textId="715255BF" w:rsidR="00A357A4" w:rsidRPr="0044148C" w:rsidRDefault="00A357A4" w:rsidP="00A357A4">
            <w:pPr>
              <w:adjustRightInd/>
              <w:rPr>
                <w:sz w:val="22"/>
              </w:rPr>
            </w:pPr>
            <w:r>
              <w:rPr>
                <w:sz w:val="22"/>
              </w:rPr>
              <w:t>£5,000,000</w:t>
            </w:r>
          </w:p>
        </w:tc>
        <w:tc>
          <w:tcPr>
            <w:tcW w:w="2268" w:type="dxa"/>
            <w:tcBorders>
              <w:top w:val="single" w:sz="4" w:space="0" w:color="auto"/>
              <w:left w:val="single" w:sz="4" w:space="0" w:color="auto"/>
              <w:bottom w:val="single" w:sz="4" w:space="0" w:color="auto"/>
              <w:right w:val="single" w:sz="4" w:space="0" w:color="auto"/>
            </w:tcBorders>
          </w:tcPr>
          <w:p w14:paraId="06396731" w14:textId="61A7EFD6" w:rsidR="00A357A4" w:rsidRPr="0044148C" w:rsidRDefault="00A357A4" w:rsidP="00A357A4">
            <w:pPr>
              <w:adjustRightInd/>
              <w:rPr>
                <w:sz w:val="22"/>
              </w:rPr>
            </w:pPr>
            <w:r>
              <w:rPr>
                <w:sz w:val="22"/>
              </w:rPr>
              <w:t>£5,000,000</w:t>
            </w:r>
          </w:p>
        </w:tc>
        <w:tc>
          <w:tcPr>
            <w:tcW w:w="1843" w:type="dxa"/>
            <w:tcBorders>
              <w:top w:val="single" w:sz="4" w:space="0" w:color="auto"/>
              <w:left w:val="single" w:sz="4" w:space="0" w:color="auto"/>
              <w:bottom w:val="single" w:sz="4" w:space="0" w:color="auto"/>
            </w:tcBorders>
          </w:tcPr>
          <w:p w14:paraId="633869FD" w14:textId="3CD0CFF7" w:rsidR="00A357A4" w:rsidRPr="0044148C" w:rsidRDefault="00A357A4" w:rsidP="00A357A4">
            <w:pPr>
              <w:adjustRightInd/>
              <w:rPr>
                <w:sz w:val="22"/>
              </w:rPr>
            </w:pPr>
            <w:r>
              <w:rPr>
                <w:sz w:val="22"/>
              </w:rPr>
              <w:t>£1,000</w:t>
            </w:r>
          </w:p>
        </w:tc>
      </w:tr>
    </w:tbl>
    <w:p w14:paraId="6958FF8D" w14:textId="77777777" w:rsidR="00681B1F" w:rsidRPr="0044148C" w:rsidRDefault="00681B1F" w:rsidP="00681B1F">
      <w:pPr>
        <w:jc w:val="both"/>
        <w:rPr>
          <w:sz w:val="22"/>
          <w:lang w:val="en-IE" w:eastAsia="en-IE"/>
        </w:rPr>
      </w:pPr>
      <w:r>
        <w:rPr>
          <w:sz w:val="22"/>
          <w:vertAlign w:val="superscript"/>
          <w:lang w:val="en-IE" w:eastAsia="en-IE"/>
        </w:rPr>
        <w:t>†</w:t>
      </w:r>
      <w:r>
        <w:rPr>
          <w:sz w:val="22"/>
          <w:lang w:val="en-IE" w:eastAsia="en-IE"/>
        </w:rPr>
        <w:t xml:space="preserve"> </w:t>
      </w:r>
      <w:r>
        <w:rPr>
          <w:sz w:val="18"/>
          <w:szCs w:val="18"/>
          <w:lang w:val="en-IE" w:eastAsia="en-IE"/>
        </w:rPr>
        <w:t>The Directors reserve the right, in respect of the Fund, to vary the Minimum Initial Investment Amount, the Minimum Subsequent Investment Amount and the Minimum Holding in the future and may choose to waive or reduce these amounts, provided that the exercise of this right will be carried out having regard to the Central Bank’s requirement to treat Shareholders in a Share Class equally and fairly.</w:t>
      </w:r>
    </w:p>
    <w:p w14:paraId="1650A1BC" w14:textId="77777777" w:rsidR="00B335DD" w:rsidRPr="0044148C" w:rsidRDefault="00B335DD">
      <w:pPr>
        <w:jc w:val="both"/>
        <w:rPr>
          <w:sz w:val="22"/>
          <w:lang w:val="en-IE" w:eastAsia="en-IE"/>
        </w:rPr>
      </w:pPr>
    </w:p>
    <w:p w14:paraId="2E597726" w14:textId="679FCA9D" w:rsidR="00B335DD" w:rsidRPr="0044148C" w:rsidRDefault="00D115B5" w:rsidP="009A3977">
      <w:pPr>
        <w:jc w:val="both"/>
        <w:rPr>
          <w:sz w:val="18"/>
          <w:szCs w:val="18"/>
          <w:lang w:val="en-IE" w:eastAsia="en-IE"/>
        </w:rPr>
      </w:pPr>
      <w:r>
        <w:rPr>
          <w:sz w:val="18"/>
          <w:szCs w:val="18"/>
          <w:lang w:val="en-IE" w:eastAsia="en-IE"/>
        </w:rPr>
        <w:t xml:space="preserve">The Founders Share Class </w:t>
      </w:r>
      <w:r w:rsidR="00F31E88">
        <w:rPr>
          <w:sz w:val="18"/>
          <w:szCs w:val="18"/>
          <w:lang w:val="en-IE" w:eastAsia="en-IE"/>
        </w:rPr>
        <w:t xml:space="preserve">was </w:t>
      </w:r>
      <w:r>
        <w:rPr>
          <w:sz w:val="18"/>
          <w:szCs w:val="18"/>
          <w:lang w:val="en-IE" w:eastAsia="en-IE"/>
        </w:rPr>
        <w:t xml:space="preserve">offered within the Fund in order to encourage early investment into the Fund at the time when it </w:t>
      </w:r>
      <w:r w:rsidR="00F31E88">
        <w:rPr>
          <w:sz w:val="18"/>
          <w:szCs w:val="18"/>
          <w:lang w:val="en-IE" w:eastAsia="en-IE"/>
        </w:rPr>
        <w:t xml:space="preserve">was </w:t>
      </w:r>
      <w:r>
        <w:rPr>
          <w:sz w:val="18"/>
          <w:szCs w:val="18"/>
          <w:lang w:val="en-IE" w:eastAsia="en-IE"/>
        </w:rPr>
        <w:t>seeking to build or increase assets under management (the “</w:t>
      </w:r>
      <w:r>
        <w:rPr>
          <w:b/>
          <w:sz w:val="18"/>
          <w:szCs w:val="18"/>
          <w:lang w:val="en-IE" w:eastAsia="en-IE"/>
        </w:rPr>
        <w:t>Founders Share Class</w:t>
      </w:r>
      <w:r>
        <w:rPr>
          <w:sz w:val="18"/>
          <w:szCs w:val="18"/>
          <w:lang w:val="en-IE" w:eastAsia="en-IE"/>
        </w:rPr>
        <w:t xml:space="preserve">”). The Founders Share Class </w:t>
      </w:r>
      <w:r w:rsidR="00F31E88">
        <w:rPr>
          <w:sz w:val="18"/>
          <w:szCs w:val="18"/>
          <w:lang w:val="en-IE" w:eastAsia="en-IE"/>
        </w:rPr>
        <w:t xml:space="preserve">was </w:t>
      </w:r>
      <w:r>
        <w:rPr>
          <w:sz w:val="18"/>
          <w:szCs w:val="18"/>
          <w:lang w:val="en-IE" w:eastAsia="en-IE"/>
        </w:rPr>
        <w:t xml:space="preserve">open to investment to prospective investors until </w:t>
      </w:r>
      <w:r>
        <w:rPr>
          <w:sz w:val="18"/>
          <w:szCs w:val="18"/>
        </w:rPr>
        <w:t>the total Net Asset Value of the Fund reache</w:t>
      </w:r>
      <w:r w:rsidR="00F31E88">
        <w:rPr>
          <w:sz w:val="18"/>
          <w:szCs w:val="18"/>
        </w:rPr>
        <w:t>d</w:t>
      </w:r>
      <w:r>
        <w:rPr>
          <w:sz w:val="18"/>
          <w:szCs w:val="18"/>
        </w:rPr>
        <w:t xml:space="preserve"> $50,000,000 cumulatively (the “</w:t>
      </w:r>
      <w:r>
        <w:rPr>
          <w:b/>
          <w:sz w:val="18"/>
          <w:szCs w:val="18"/>
        </w:rPr>
        <w:t>Investment Cap</w:t>
      </w:r>
      <w:r>
        <w:rPr>
          <w:sz w:val="18"/>
          <w:szCs w:val="18"/>
        </w:rPr>
        <w:t xml:space="preserve">”). </w:t>
      </w:r>
      <w:r w:rsidR="00F31E88">
        <w:rPr>
          <w:sz w:val="18"/>
          <w:szCs w:val="18"/>
        </w:rPr>
        <w:t>As the Founders Share Class now exceeds the Investment Cap</w:t>
      </w:r>
      <w:r w:rsidR="002B4BEE">
        <w:rPr>
          <w:sz w:val="18"/>
          <w:szCs w:val="18"/>
        </w:rPr>
        <w:t>,</w:t>
      </w:r>
      <w:r w:rsidR="00F31E88">
        <w:rPr>
          <w:sz w:val="18"/>
          <w:szCs w:val="18"/>
        </w:rPr>
        <w:t xml:space="preserve"> the </w:t>
      </w:r>
      <w:r w:rsidR="00D81E64">
        <w:rPr>
          <w:sz w:val="18"/>
          <w:szCs w:val="18"/>
        </w:rPr>
        <w:t>Founders Share Class</w:t>
      </w:r>
      <w:r w:rsidR="00F31E88">
        <w:rPr>
          <w:sz w:val="18"/>
          <w:szCs w:val="18"/>
        </w:rPr>
        <w:t xml:space="preserve"> is now closed to </w:t>
      </w:r>
      <w:r w:rsidR="002B4BEE">
        <w:rPr>
          <w:sz w:val="18"/>
          <w:szCs w:val="18"/>
        </w:rPr>
        <w:t>new subscribers but remains open to existing subscribers in the Founders Share Class for additional subscriptions</w:t>
      </w:r>
      <w:r w:rsidR="00F31E88">
        <w:rPr>
          <w:sz w:val="18"/>
          <w:szCs w:val="18"/>
        </w:rPr>
        <w:t>.</w:t>
      </w:r>
    </w:p>
    <w:p w14:paraId="393CBC14" w14:textId="77777777" w:rsidR="009A3977" w:rsidRPr="0044148C" w:rsidRDefault="009A3977" w:rsidP="009A3977">
      <w:pPr>
        <w:rPr>
          <w:sz w:val="22"/>
          <w:lang w:val="en-IE" w:eastAsia="en-IE"/>
        </w:rPr>
      </w:pPr>
    </w:p>
    <w:p w14:paraId="6A082BD9" w14:textId="21F881E9" w:rsidR="00B335DD" w:rsidRPr="0044148C" w:rsidRDefault="00124690">
      <w:pPr>
        <w:keepNext/>
        <w:adjustRightInd/>
        <w:jc w:val="both"/>
        <w:rPr>
          <w:b/>
          <w:sz w:val="22"/>
        </w:rPr>
      </w:pPr>
      <w:r>
        <w:rPr>
          <w:b/>
          <w:sz w:val="22"/>
        </w:rPr>
        <w:lastRenderedPageBreak/>
        <w:t xml:space="preserve">Initial Offer Period </w:t>
      </w:r>
    </w:p>
    <w:p w14:paraId="568702D7" w14:textId="77777777" w:rsidR="00B335DD" w:rsidRPr="0044148C" w:rsidRDefault="00B335DD">
      <w:pPr>
        <w:keepNext/>
        <w:tabs>
          <w:tab w:val="left" w:pos="2090"/>
        </w:tabs>
        <w:jc w:val="both"/>
        <w:rPr>
          <w:sz w:val="22"/>
          <w:lang w:val="en-IE" w:eastAsia="en-IE"/>
        </w:rPr>
      </w:pPr>
    </w:p>
    <w:tbl>
      <w:tblPr>
        <w:tblW w:w="1010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52"/>
        <w:gridCol w:w="3727"/>
        <w:gridCol w:w="3727"/>
      </w:tblGrid>
      <w:tr w:rsidR="00124690" w:rsidRPr="0044148C" w14:paraId="0973A896" w14:textId="77777777" w:rsidTr="005473BC">
        <w:trPr>
          <w:trHeight w:val="622"/>
        </w:trPr>
        <w:tc>
          <w:tcPr>
            <w:tcW w:w="2652" w:type="dxa"/>
            <w:tcBorders>
              <w:top w:val="single" w:sz="4" w:space="0" w:color="auto"/>
              <w:bottom w:val="single" w:sz="4" w:space="0" w:color="auto"/>
              <w:right w:val="single" w:sz="4" w:space="0" w:color="auto"/>
            </w:tcBorders>
          </w:tcPr>
          <w:p w14:paraId="1484D83C" w14:textId="77777777" w:rsidR="00124690" w:rsidRPr="0044148C" w:rsidRDefault="00124690">
            <w:pPr>
              <w:keepNext/>
              <w:tabs>
                <w:tab w:val="left" w:pos="7380"/>
                <w:tab w:val="left" w:pos="7650"/>
                <w:tab w:val="left" w:pos="7740"/>
              </w:tabs>
              <w:adjustRightInd/>
              <w:spacing w:before="120" w:after="120"/>
              <w:rPr>
                <w:b/>
                <w:sz w:val="22"/>
                <w:lang w:val="en-IE" w:eastAsia="en-IE"/>
              </w:rPr>
            </w:pPr>
            <w:r>
              <w:rPr>
                <w:b/>
                <w:sz w:val="22"/>
                <w:lang w:val="en-IE" w:eastAsia="en-IE"/>
              </w:rPr>
              <w:t>Share Class</w:t>
            </w:r>
          </w:p>
        </w:tc>
        <w:tc>
          <w:tcPr>
            <w:tcW w:w="3727" w:type="dxa"/>
            <w:tcBorders>
              <w:top w:val="single" w:sz="4" w:space="0" w:color="auto"/>
              <w:bottom w:val="single" w:sz="4" w:space="0" w:color="auto"/>
              <w:right w:val="single" w:sz="4" w:space="0" w:color="auto"/>
            </w:tcBorders>
          </w:tcPr>
          <w:p w14:paraId="1A3815C8" w14:textId="0E8B541A" w:rsidR="00124690" w:rsidRDefault="00124690">
            <w:pPr>
              <w:keepNext/>
              <w:tabs>
                <w:tab w:val="left" w:pos="7380"/>
                <w:tab w:val="left" w:pos="7650"/>
                <w:tab w:val="left" w:pos="7740"/>
              </w:tabs>
              <w:adjustRightInd/>
              <w:rPr>
                <w:b/>
                <w:sz w:val="22"/>
                <w:lang w:val="en-IE" w:eastAsia="en-IE"/>
              </w:rPr>
            </w:pPr>
            <w:r>
              <w:rPr>
                <w:b/>
                <w:sz w:val="22"/>
                <w:lang w:val="en-IE" w:eastAsia="en-IE"/>
              </w:rPr>
              <w:t>Opening Date of Initial Offer Period</w:t>
            </w:r>
          </w:p>
        </w:tc>
        <w:tc>
          <w:tcPr>
            <w:tcW w:w="3727" w:type="dxa"/>
            <w:tcBorders>
              <w:top w:val="single" w:sz="4" w:space="0" w:color="auto"/>
              <w:left w:val="single" w:sz="4" w:space="0" w:color="auto"/>
              <w:bottom w:val="single" w:sz="4" w:space="0" w:color="auto"/>
            </w:tcBorders>
          </w:tcPr>
          <w:p w14:paraId="47683F60" w14:textId="5C03D610" w:rsidR="00124690" w:rsidRPr="0044148C" w:rsidRDefault="00124690">
            <w:pPr>
              <w:keepNext/>
              <w:tabs>
                <w:tab w:val="left" w:pos="7380"/>
                <w:tab w:val="left" w:pos="7650"/>
                <w:tab w:val="left" w:pos="7740"/>
              </w:tabs>
              <w:adjustRightInd/>
              <w:rPr>
                <w:b/>
                <w:sz w:val="22"/>
                <w:lang w:val="en-IE" w:eastAsia="en-IE"/>
              </w:rPr>
            </w:pPr>
            <w:r>
              <w:rPr>
                <w:b/>
                <w:sz w:val="22"/>
                <w:lang w:val="en-IE" w:eastAsia="en-IE"/>
              </w:rPr>
              <w:t xml:space="preserve">Closing Date of Initial Offer Period </w:t>
            </w:r>
          </w:p>
          <w:p w14:paraId="05542DF4" w14:textId="77777777" w:rsidR="00124690" w:rsidRPr="0044148C" w:rsidRDefault="00124690">
            <w:pPr>
              <w:keepNext/>
              <w:tabs>
                <w:tab w:val="left" w:pos="7380"/>
                <w:tab w:val="left" w:pos="7650"/>
                <w:tab w:val="left" w:pos="7740"/>
              </w:tabs>
              <w:adjustRightInd/>
              <w:rPr>
                <w:b/>
                <w:sz w:val="22"/>
                <w:lang w:val="en-IE" w:eastAsia="en-IE"/>
              </w:rPr>
            </w:pPr>
            <w:r>
              <w:rPr>
                <w:b/>
                <w:sz w:val="22"/>
                <w:lang w:val="en-IE" w:eastAsia="en-IE"/>
              </w:rPr>
              <w:t>(as may be extended or shortened in each case at the discretion of the Directors and notified to the Central Bank)</w:t>
            </w:r>
          </w:p>
        </w:tc>
      </w:tr>
      <w:tr w:rsidR="00124690" w:rsidRPr="0044148C" w14:paraId="3884AC36" w14:textId="77777777" w:rsidTr="005473BC">
        <w:trPr>
          <w:trHeight w:val="127"/>
        </w:trPr>
        <w:tc>
          <w:tcPr>
            <w:tcW w:w="2652" w:type="dxa"/>
            <w:tcBorders>
              <w:top w:val="single" w:sz="4" w:space="0" w:color="auto"/>
              <w:bottom w:val="single" w:sz="4" w:space="0" w:color="auto"/>
              <w:right w:val="single" w:sz="4" w:space="0" w:color="auto"/>
            </w:tcBorders>
          </w:tcPr>
          <w:p w14:paraId="351725C9" w14:textId="521B4C10" w:rsidR="00124690" w:rsidRPr="0044148C" w:rsidRDefault="00124690" w:rsidP="00C200A1">
            <w:pPr>
              <w:keepNext/>
              <w:rPr>
                <w:sz w:val="22"/>
              </w:rPr>
            </w:pPr>
            <w:r>
              <w:rPr>
                <w:sz w:val="22"/>
              </w:rPr>
              <w:t>Class A USD (Accumulating)</w:t>
            </w:r>
          </w:p>
        </w:tc>
        <w:tc>
          <w:tcPr>
            <w:tcW w:w="3727" w:type="dxa"/>
            <w:tcBorders>
              <w:top w:val="single" w:sz="4" w:space="0" w:color="auto"/>
              <w:bottom w:val="single" w:sz="4" w:space="0" w:color="auto"/>
              <w:right w:val="single" w:sz="4" w:space="0" w:color="auto"/>
            </w:tcBorders>
          </w:tcPr>
          <w:p w14:paraId="793930C9" w14:textId="61663A1C" w:rsidR="00124690" w:rsidRDefault="00124690" w:rsidP="00B24DB4">
            <w:pPr>
              <w:adjustRightInd/>
              <w:jc w:val="both"/>
              <w:rPr>
                <w:sz w:val="22"/>
              </w:rPr>
            </w:pPr>
            <w:r>
              <w:rPr>
                <w:sz w:val="22"/>
              </w:rPr>
              <w:t>17 April 2023</w:t>
            </w:r>
          </w:p>
        </w:tc>
        <w:tc>
          <w:tcPr>
            <w:tcW w:w="3727" w:type="dxa"/>
            <w:tcBorders>
              <w:top w:val="single" w:sz="4" w:space="0" w:color="auto"/>
              <w:left w:val="single" w:sz="4" w:space="0" w:color="auto"/>
              <w:bottom w:val="single" w:sz="4" w:space="0" w:color="auto"/>
            </w:tcBorders>
          </w:tcPr>
          <w:p w14:paraId="541158B3" w14:textId="74A857B2" w:rsidR="00124690" w:rsidRPr="0044148C" w:rsidRDefault="00124690" w:rsidP="00B24DB4">
            <w:pPr>
              <w:adjustRightInd/>
              <w:jc w:val="both"/>
              <w:rPr>
                <w:sz w:val="22"/>
                <w:lang w:val="en-US"/>
              </w:rPr>
            </w:pPr>
            <w:r>
              <w:rPr>
                <w:sz w:val="22"/>
              </w:rPr>
              <w:t>17 October 2023</w:t>
            </w:r>
          </w:p>
        </w:tc>
      </w:tr>
      <w:tr w:rsidR="00124690" w:rsidRPr="0044148C" w14:paraId="2455F9E8" w14:textId="77777777" w:rsidTr="00124690">
        <w:trPr>
          <w:trHeight w:val="127"/>
        </w:trPr>
        <w:tc>
          <w:tcPr>
            <w:tcW w:w="2652" w:type="dxa"/>
            <w:tcBorders>
              <w:top w:val="single" w:sz="4" w:space="0" w:color="auto"/>
              <w:bottom w:val="single" w:sz="4" w:space="0" w:color="auto"/>
              <w:right w:val="single" w:sz="4" w:space="0" w:color="auto"/>
            </w:tcBorders>
          </w:tcPr>
          <w:p w14:paraId="25F1D186" w14:textId="6837A383" w:rsidR="00124690" w:rsidRDefault="00124690" w:rsidP="00C200A1">
            <w:pPr>
              <w:keepNext/>
              <w:rPr>
                <w:sz w:val="22"/>
              </w:rPr>
            </w:pPr>
            <w:r>
              <w:rPr>
                <w:sz w:val="22"/>
              </w:rPr>
              <w:t>Class A GBP (Accumulating)</w:t>
            </w:r>
          </w:p>
        </w:tc>
        <w:tc>
          <w:tcPr>
            <w:tcW w:w="3727" w:type="dxa"/>
            <w:tcBorders>
              <w:top w:val="single" w:sz="4" w:space="0" w:color="auto"/>
              <w:bottom w:val="single" w:sz="4" w:space="0" w:color="auto"/>
              <w:right w:val="single" w:sz="4" w:space="0" w:color="auto"/>
            </w:tcBorders>
          </w:tcPr>
          <w:p w14:paraId="48FFD440" w14:textId="02147DFA" w:rsidR="00124690" w:rsidRDefault="00124690" w:rsidP="00B24DB4">
            <w:pPr>
              <w:adjustRightInd/>
              <w:jc w:val="both"/>
              <w:rPr>
                <w:sz w:val="22"/>
              </w:rPr>
            </w:pPr>
            <w:r>
              <w:rPr>
                <w:sz w:val="22"/>
              </w:rPr>
              <w:t>17 April 2023</w:t>
            </w:r>
          </w:p>
        </w:tc>
        <w:tc>
          <w:tcPr>
            <w:tcW w:w="3727" w:type="dxa"/>
            <w:tcBorders>
              <w:top w:val="single" w:sz="4" w:space="0" w:color="auto"/>
              <w:left w:val="single" w:sz="4" w:space="0" w:color="auto"/>
              <w:bottom w:val="single" w:sz="4" w:space="0" w:color="auto"/>
            </w:tcBorders>
          </w:tcPr>
          <w:p w14:paraId="197E7B89" w14:textId="292B2DC0" w:rsidR="00124690" w:rsidRDefault="00124690" w:rsidP="00B24DB4">
            <w:pPr>
              <w:adjustRightInd/>
              <w:jc w:val="both"/>
              <w:rPr>
                <w:sz w:val="22"/>
              </w:rPr>
            </w:pPr>
            <w:r>
              <w:rPr>
                <w:sz w:val="22"/>
              </w:rPr>
              <w:t>17 October 2023</w:t>
            </w:r>
          </w:p>
        </w:tc>
      </w:tr>
      <w:tr w:rsidR="00124690" w:rsidRPr="0044148C" w14:paraId="66724AD3" w14:textId="77777777" w:rsidTr="00124690">
        <w:trPr>
          <w:trHeight w:val="127"/>
        </w:trPr>
        <w:tc>
          <w:tcPr>
            <w:tcW w:w="2652" w:type="dxa"/>
            <w:tcBorders>
              <w:top w:val="single" w:sz="4" w:space="0" w:color="auto"/>
              <w:bottom w:val="single" w:sz="4" w:space="0" w:color="auto"/>
              <w:right w:val="single" w:sz="4" w:space="0" w:color="auto"/>
            </w:tcBorders>
          </w:tcPr>
          <w:p w14:paraId="03D92410" w14:textId="3724B102" w:rsidR="00124690" w:rsidRDefault="00124690" w:rsidP="00C200A1">
            <w:pPr>
              <w:keepNext/>
              <w:rPr>
                <w:sz w:val="22"/>
              </w:rPr>
            </w:pPr>
            <w:r>
              <w:rPr>
                <w:sz w:val="22"/>
              </w:rPr>
              <w:t>Class A EUR (Accumulating)</w:t>
            </w:r>
          </w:p>
        </w:tc>
        <w:tc>
          <w:tcPr>
            <w:tcW w:w="3727" w:type="dxa"/>
            <w:tcBorders>
              <w:top w:val="single" w:sz="4" w:space="0" w:color="auto"/>
              <w:bottom w:val="single" w:sz="4" w:space="0" w:color="auto"/>
              <w:right w:val="single" w:sz="4" w:space="0" w:color="auto"/>
            </w:tcBorders>
          </w:tcPr>
          <w:p w14:paraId="3C491DA1" w14:textId="5DBD35B8" w:rsidR="00124690" w:rsidRDefault="00124690" w:rsidP="00B24DB4">
            <w:pPr>
              <w:adjustRightInd/>
              <w:jc w:val="both"/>
              <w:rPr>
                <w:sz w:val="22"/>
              </w:rPr>
            </w:pPr>
            <w:r>
              <w:rPr>
                <w:sz w:val="22"/>
              </w:rPr>
              <w:t>17 April 2023</w:t>
            </w:r>
          </w:p>
        </w:tc>
        <w:tc>
          <w:tcPr>
            <w:tcW w:w="3727" w:type="dxa"/>
            <w:tcBorders>
              <w:top w:val="single" w:sz="4" w:space="0" w:color="auto"/>
              <w:left w:val="single" w:sz="4" w:space="0" w:color="auto"/>
              <w:bottom w:val="single" w:sz="4" w:space="0" w:color="auto"/>
            </w:tcBorders>
          </w:tcPr>
          <w:p w14:paraId="5C027C95" w14:textId="183284B7" w:rsidR="00124690" w:rsidRDefault="00124690" w:rsidP="00B24DB4">
            <w:pPr>
              <w:adjustRightInd/>
              <w:jc w:val="both"/>
              <w:rPr>
                <w:sz w:val="22"/>
              </w:rPr>
            </w:pPr>
            <w:r>
              <w:rPr>
                <w:sz w:val="22"/>
              </w:rPr>
              <w:t>17 October 2023</w:t>
            </w:r>
          </w:p>
        </w:tc>
      </w:tr>
      <w:tr w:rsidR="00124690" w:rsidRPr="0044148C" w14:paraId="1348DAF8" w14:textId="77777777" w:rsidTr="00124690">
        <w:trPr>
          <w:trHeight w:val="127"/>
        </w:trPr>
        <w:tc>
          <w:tcPr>
            <w:tcW w:w="2652" w:type="dxa"/>
            <w:tcBorders>
              <w:top w:val="single" w:sz="4" w:space="0" w:color="auto"/>
              <w:bottom w:val="single" w:sz="4" w:space="0" w:color="auto"/>
              <w:right w:val="single" w:sz="4" w:space="0" w:color="auto"/>
            </w:tcBorders>
          </w:tcPr>
          <w:p w14:paraId="3F343703" w14:textId="61ADA890" w:rsidR="00124690" w:rsidRDefault="00124690" w:rsidP="00C200A1">
            <w:pPr>
              <w:keepNext/>
              <w:rPr>
                <w:sz w:val="22"/>
              </w:rPr>
            </w:pPr>
            <w:r>
              <w:rPr>
                <w:sz w:val="22"/>
              </w:rPr>
              <w:t>Class A CHF (Accumulating)</w:t>
            </w:r>
          </w:p>
        </w:tc>
        <w:tc>
          <w:tcPr>
            <w:tcW w:w="3727" w:type="dxa"/>
            <w:tcBorders>
              <w:top w:val="single" w:sz="4" w:space="0" w:color="auto"/>
              <w:bottom w:val="single" w:sz="4" w:space="0" w:color="auto"/>
              <w:right w:val="single" w:sz="4" w:space="0" w:color="auto"/>
            </w:tcBorders>
          </w:tcPr>
          <w:p w14:paraId="512F515E" w14:textId="7008ACD8" w:rsidR="00124690" w:rsidRDefault="00124690" w:rsidP="00B24DB4">
            <w:pPr>
              <w:adjustRightInd/>
              <w:jc w:val="both"/>
              <w:rPr>
                <w:sz w:val="22"/>
              </w:rPr>
            </w:pPr>
            <w:r>
              <w:rPr>
                <w:sz w:val="22"/>
              </w:rPr>
              <w:t>17 April 2023</w:t>
            </w:r>
          </w:p>
        </w:tc>
        <w:tc>
          <w:tcPr>
            <w:tcW w:w="3727" w:type="dxa"/>
            <w:tcBorders>
              <w:top w:val="single" w:sz="4" w:space="0" w:color="auto"/>
              <w:left w:val="single" w:sz="4" w:space="0" w:color="auto"/>
              <w:bottom w:val="single" w:sz="4" w:space="0" w:color="auto"/>
            </w:tcBorders>
          </w:tcPr>
          <w:p w14:paraId="1F5176D7" w14:textId="60CE3D64" w:rsidR="00124690" w:rsidRDefault="00124690" w:rsidP="00B24DB4">
            <w:pPr>
              <w:adjustRightInd/>
              <w:jc w:val="both"/>
              <w:rPr>
                <w:sz w:val="22"/>
              </w:rPr>
            </w:pPr>
            <w:r>
              <w:rPr>
                <w:sz w:val="22"/>
              </w:rPr>
              <w:t>17 October 2023</w:t>
            </w:r>
          </w:p>
        </w:tc>
      </w:tr>
      <w:tr w:rsidR="00124690" w:rsidRPr="0044148C" w14:paraId="3F90A9F6" w14:textId="77777777" w:rsidTr="00124690">
        <w:trPr>
          <w:trHeight w:val="127"/>
        </w:trPr>
        <w:tc>
          <w:tcPr>
            <w:tcW w:w="2652" w:type="dxa"/>
            <w:tcBorders>
              <w:top w:val="single" w:sz="4" w:space="0" w:color="auto"/>
              <w:bottom w:val="single" w:sz="4" w:space="0" w:color="auto"/>
              <w:right w:val="single" w:sz="4" w:space="0" w:color="auto"/>
            </w:tcBorders>
          </w:tcPr>
          <w:p w14:paraId="39369733" w14:textId="77777777" w:rsidR="00124690" w:rsidRDefault="00124690" w:rsidP="00C200A1">
            <w:pPr>
              <w:keepNext/>
              <w:rPr>
                <w:sz w:val="22"/>
              </w:rPr>
            </w:pPr>
            <w:r>
              <w:rPr>
                <w:sz w:val="22"/>
              </w:rPr>
              <w:t>Class A GBP</w:t>
            </w:r>
          </w:p>
          <w:p w14:paraId="1F5F4858" w14:textId="73613F4F" w:rsidR="00124690" w:rsidRDefault="00124690" w:rsidP="00C200A1">
            <w:pPr>
              <w:keepNext/>
              <w:rPr>
                <w:sz w:val="22"/>
              </w:rPr>
            </w:pPr>
            <w:r>
              <w:rPr>
                <w:sz w:val="22"/>
              </w:rPr>
              <w:t>(Distributing)</w:t>
            </w:r>
          </w:p>
        </w:tc>
        <w:tc>
          <w:tcPr>
            <w:tcW w:w="3727" w:type="dxa"/>
            <w:tcBorders>
              <w:top w:val="single" w:sz="4" w:space="0" w:color="auto"/>
              <w:bottom w:val="single" w:sz="4" w:space="0" w:color="auto"/>
              <w:right w:val="single" w:sz="4" w:space="0" w:color="auto"/>
            </w:tcBorders>
          </w:tcPr>
          <w:p w14:paraId="25672D50" w14:textId="0A0B3D8E" w:rsidR="00124690" w:rsidRDefault="005473BC" w:rsidP="00B24DB4">
            <w:pPr>
              <w:adjustRightInd/>
              <w:jc w:val="both"/>
              <w:rPr>
                <w:sz w:val="22"/>
              </w:rPr>
            </w:pPr>
            <w:r>
              <w:rPr>
                <w:sz w:val="22"/>
              </w:rPr>
              <w:t>2</w:t>
            </w:r>
            <w:r w:rsidR="00124690">
              <w:rPr>
                <w:sz w:val="22"/>
              </w:rPr>
              <w:t xml:space="preserve"> </w:t>
            </w:r>
            <w:r w:rsidR="00672DED">
              <w:rPr>
                <w:sz w:val="22"/>
              </w:rPr>
              <w:t>November</w:t>
            </w:r>
            <w:r w:rsidR="00124690">
              <w:rPr>
                <w:sz w:val="22"/>
              </w:rPr>
              <w:t xml:space="preserve"> 2023</w:t>
            </w:r>
          </w:p>
        </w:tc>
        <w:tc>
          <w:tcPr>
            <w:tcW w:w="3727" w:type="dxa"/>
            <w:tcBorders>
              <w:top w:val="single" w:sz="4" w:space="0" w:color="auto"/>
              <w:left w:val="single" w:sz="4" w:space="0" w:color="auto"/>
              <w:bottom w:val="single" w:sz="4" w:space="0" w:color="auto"/>
            </w:tcBorders>
          </w:tcPr>
          <w:p w14:paraId="02422BA2" w14:textId="1EACBE27" w:rsidR="00124690" w:rsidRDefault="005473BC" w:rsidP="00B24DB4">
            <w:pPr>
              <w:adjustRightInd/>
              <w:jc w:val="both"/>
              <w:rPr>
                <w:sz w:val="22"/>
              </w:rPr>
            </w:pPr>
            <w:r>
              <w:rPr>
                <w:sz w:val="22"/>
              </w:rPr>
              <w:t>2</w:t>
            </w:r>
            <w:r w:rsidR="00124690">
              <w:rPr>
                <w:sz w:val="22"/>
              </w:rPr>
              <w:t xml:space="preserve"> </w:t>
            </w:r>
            <w:r w:rsidR="00672DED">
              <w:rPr>
                <w:sz w:val="22"/>
              </w:rPr>
              <w:t>May</w:t>
            </w:r>
            <w:r w:rsidR="00124690">
              <w:rPr>
                <w:sz w:val="22"/>
              </w:rPr>
              <w:t xml:space="preserve"> 202</w:t>
            </w:r>
            <w:r w:rsidR="00C07F82">
              <w:rPr>
                <w:sz w:val="22"/>
              </w:rPr>
              <w:t>4</w:t>
            </w:r>
          </w:p>
        </w:tc>
      </w:tr>
      <w:tr w:rsidR="001107AE" w:rsidRPr="0044148C" w14:paraId="0409C46E" w14:textId="77777777" w:rsidTr="00124690">
        <w:trPr>
          <w:trHeight w:val="127"/>
        </w:trPr>
        <w:tc>
          <w:tcPr>
            <w:tcW w:w="2652" w:type="dxa"/>
            <w:tcBorders>
              <w:top w:val="single" w:sz="4" w:space="0" w:color="auto"/>
              <w:bottom w:val="single" w:sz="4" w:space="0" w:color="auto"/>
              <w:right w:val="single" w:sz="4" w:space="0" w:color="auto"/>
            </w:tcBorders>
          </w:tcPr>
          <w:p w14:paraId="6980372D" w14:textId="77777777" w:rsidR="001107AE" w:rsidRDefault="001107AE" w:rsidP="001107AE">
            <w:pPr>
              <w:adjustRightInd/>
              <w:rPr>
                <w:sz w:val="22"/>
              </w:rPr>
            </w:pPr>
            <w:r>
              <w:rPr>
                <w:sz w:val="22"/>
              </w:rPr>
              <w:t>Class B GBP</w:t>
            </w:r>
          </w:p>
          <w:p w14:paraId="353ED055" w14:textId="5B980335" w:rsidR="001107AE" w:rsidRDefault="00A67E7C" w:rsidP="001107AE">
            <w:pPr>
              <w:keepNext/>
              <w:rPr>
                <w:sz w:val="22"/>
              </w:rPr>
            </w:pPr>
            <w:r>
              <w:rPr>
                <w:sz w:val="22"/>
              </w:rPr>
              <w:t>(Accumulating)</w:t>
            </w:r>
          </w:p>
        </w:tc>
        <w:tc>
          <w:tcPr>
            <w:tcW w:w="3727" w:type="dxa"/>
            <w:tcBorders>
              <w:top w:val="single" w:sz="4" w:space="0" w:color="auto"/>
              <w:bottom w:val="single" w:sz="4" w:space="0" w:color="auto"/>
              <w:right w:val="single" w:sz="4" w:space="0" w:color="auto"/>
            </w:tcBorders>
          </w:tcPr>
          <w:p w14:paraId="45CB12C9" w14:textId="76D1B593" w:rsidR="001107AE" w:rsidRDefault="001107AE" w:rsidP="001107AE">
            <w:pPr>
              <w:adjustRightInd/>
              <w:jc w:val="both"/>
              <w:rPr>
                <w:sz w:val="22"/>
              </w:rPr>
            </w:pPr>
            <w:r>
              <w:rPr>
                <w:sz w:val="22"/>
              </w:rPr>
              <w:t>[</w:t>
            </w:r>
            <w:r>
              <w:rPr>
                <w:sz w:val="22"/>
              </w:rPr>
              <w:sym w:font="Wingdings" w:char="F06C"/>
            </w:r>
            <w:r>
              <w:rPr>
                <w:sz w:val="22"/>
              </w:rPr>
              <w:t>] 2024</w:t>
            </w:r>
          </w:p>
        </w:tc>
        <w:tc>
          <w:tcPr>
            <w:tcW w:w="3727" w:type="dxa"/>
            <w:tcBorders>
              <w:top w:val="single" w:sz="4" w:space="0" w:color="auto"/>
              <w:left w:val="single" w:sz="4" w:space="0" w:color="auto"/>
              <w:bottom w:val="single" w:sz="4" w:space="0" w:color="auto"/>
            </w:tcBorders>
          </w:tcPr>
          <w:p w14:paraId="1A9C94EB" w14:textId="662FCEBF" w:rsidR="001107AE" w:rsidRDefault="001107AE" w:rsidP="001107AE">
            <w:pPr>
              <w:adjustRightInd/>
              <w:jc w:val="both"/>
              <w:rPr>
                <w:sz w:val="22"/>
              </w:rPr>
            </w:pPr>
            <w:r>
              <w:rPr>
                <w:sz w:val="22"/>
              </w:rPr>
              <w:t>[</w:t>
            </w:r>
            <w:r>
              <w:rPr>
                <w:sz w:val="22"/>
              </w:rPr>
              <w:sym w:font="Wingdings" w:char="F06C"/>
            </w:r>
            <w:r>
              <w:rPr>
                <w:sz w:val="22"/>
              </w:rPr>
              <w:t>] 2024</w:t>
            </w:r>
          </w:p>
        </w:tc>
      </w:tr>
      <w:tr w:rsidR="00A357A4" w:rsidRPr="0044148C" w14:paraId="512AB1E9" w14:textId="77777777" w:rsidTr="00124690">
        <w:trPr>
          <w:trHeight w:val="127"/>
        </w:trPr>
        <w:tc>
          <w:tcPr>
            <w:tcW w:w="2652" w:type="dxa"/>
            <w:tcBorders>
              <w:top w:val="single" w:sz="4" w:space="0" w:color="auto"/>
              <w:bottom w:val="single" w:sz="4" w:space="0" w:color="auto"/>
              <w:right w:val="single" w:sz="4" w:space="0" w:color="auto"/>
            </w:tcBorders>
          </w:tcPr>
          <w:p w14:paraId="3D94F2E9" w14:textId="5BD768F6" w:rsidR="00A357A4" w:rsidRDefault="00A357A4" w:rsidP="00A357A4">
            <w:pPr>
              <w:adjustRightInd/>
              <w:rPr>
                <w:sz w:val="22"/>
              </w:rPr>
            </w:pPr>
            <w:r>
              <w:rPr>
                <w:sz w:val="22"/>
              </w:rPr>
              <w:t>Class C USD (Accumulating)</w:t>
            </w:r>
          </w:p>
        </w:tc>
        <w:tc>
          <w:tcPr>
            <w:tcW w:w="3727" w:type="dxa"/>
            <w:tcBorders>
              <w:top w:val="single" w:sz="4" w:space="0" w:color="auto"/>
              <w:bottom w:val="single" w:sz="4" w:space="0" w:color="auto"/>
              <w:right w:val="single" w:sz="4" w:space="0" w:color="auto"/>
            </w:tcBorders>
          </w:tcPr>
          <w:p w14:paraId="16379769" w14:textId="7D9CA0A3" w:rsidR="00A357A4" w:rsidRDefault="00A357A4" w:rsidP="00A357A4">
            <w:pPr>
              <w:adjustRightInd/>
              <w:jc w:val="both"/>
              <w:rPr>
                <w:sz w:val="22"/>
              </w:rPr>
            </w:pPr>
            <w:r>
              <w:rPr>
                <w:sz w:val="22"/>
              </w:rPr>
              <w:t>[</w:t>
            </w:r>
            <w:r>
              <w:rPr>
                <w:sz w:val="22"/>
              </w:rPr>
              <w:sym w:font="Wingdings" w:char="F06C"/>
            </w:r>
            <w:r>
              <w:rPr>
                <w:sz w:val="22"/>
              </w:rPr>
              <w:t>] 2024</w:t>
            </w:r>
          </w:p>
        </w:tc>
        <w:tc>
          <w:tcPr>
            <w:tcW w:w="3727" w:type="dxa"/>
            <w:tcBorders>
              <w:top w:val="single" w:sz="4" w:space="0" w:color="auto"/>
              <w:left w:val="single" w:sz="4" w:space="0" w:color="auto"/>
              <w:bottom w:val="single" w:sz="4" w:space="0" w:color="auto"/>
            </w:tcBorders>
          </w:tcPr>
          <w:p w14:paraId="6DB8448C" w14:textId="3298E471" w:rsidR="00A357A4" w:rsidRDefault="00A357A4" w:rsidP="00A357A4">
            <w:pPr>
              <w:adjustRightInd/>
              <w:jc w:val="both"/>
              <w:rPr>
                <w:sz w:val="22"/>
              </w:rPr>
            </w:pPr>
            <w:r>
              <w:rPr>
                <w:sz w:val="22"/>
              </w:rPr>
              <w:t>[</w:t>
            </w:r>
            <w:r>
              <w:rPr>
                <w:sz w:val="22"/>
              </w:rPr>
              <w:sym w:font="Wingdings" w:char="F06C"/>
            </w:r>
            <w:r>
              <w:rPr>
                <w:sz w:val="22"/>
              </w:rPr>
              <w:t>] 2024</w:t>
            </w:r>
          </w:p>
        </w:tc>
      </w:tr>
      <w:tr w:rsidR="00A357A4" w:rsidRPr="0044148C" w14:paraId="0906FD45" w14:textId="77777777" w:rsidTr="00124690">
        <w:trPr>
          <w:trHeight w:val="127"/>
        </w:trPr>
        <w:tc>
          <w:tcPr>
            <w:tcW w:w="2652" w:type="dxa"/>
            <w:tcBorders>
              <w:top w:val="single" w:sz="4" w:space="0" w:color="auto"/>
              <w:bottom w:val="single" w:sz="4" w:space="0" w:color="auto"/>
              <w:right w:val="single" w:sz="4" w:space="0" w:color="auto"/>
            </w:tcBorders>
          </w:tcPr>
          <w:p w14:paraId="6A127BE7" w14:textId="661C9B10" w:rsidR="00A357A4" w:rsidRDefault="00A357A4" w:rsidP="00A357A4">
            <w:pPr>
              <w:adjustRightInd/>
              <w:rPr>
                <w:sz w:val="22"/>
              </w:rPr>
            </w:pPr>
            <w:r>
              <w:rPr>
                <w:sz w:val="22"/>
              </w:rPr>
              <w:t xml:space="preserve">Class C </w:t>
            </w:r>
            <w:r w:rsidR="00FA2EFA">
              <w:rPr>
                <w:sz w:val="22"/>
              </w:rPr>
              <w:t>GBP</w:t>
            </w:r>
            <w:r>
              <w:rPr>
                <w:sz w:val="22"/>
              </w:rPr>
              <w:t xml:space="preserve"> (Accumulating)</w:t>
            </w:r>
          </w:p>
        </w:tc>
        <w:tc>
          <w:tcPr>
            <w:tcW w:w="3727" w:type="dxa"/>
            <w:tcBorders>
              <w:top w:val="single" w:sz="4" w:space="0" w:color="auto"/>
              <w:bottom w:val="single" w:sz="4" w:space="0" w:color="auto"/>
              <w:right w:val="single" w:sz="4" w:space="0" w:color="auto"/>
            </w:tcBorders>
          </w:tcPr>
          <w:p w14:paraId="62283CA2" w14:textId="6621AEBE" w:rsidR="00A357A4" w:rsidRDefault="00A357A4" w:rsidP="00A357A4">
            <w:pPr>
              <w:adjustRightInd/>
              <w:jc w:val="both"/>
              <w:rPr>
                <w:sz w:val="22"/>
              </w:rPr>
            </w:pPr>
            <w:r>
              <w:rPr>
                <w:sz w:val="22"/>
              </w:rPr>
              <w:t>[</w:t>
            </w:r>
            <w:r>
              <w:rPr>
                <w:sz w:val="22"/>
              </w:rPr>
              <w:sym w:font="Wingdings" w:char="F06C"/>
            </w:r>
            <w:r>
              <w:rPr>
                <w:sz w:val="22"/>
              </w:rPr>
              <w:t>] 2024</w:t>
            </w:r>
          </w:p>
        </w:tc>
        <w:tc>
          <w:tcPr>
            <w:tcW w:w="3727" w:type="dxa"/>
            <w:tcBorders>
              <w:top w:val="single" w:sz="4" w:space="0" w:color="auto"/>
              <w:left w:val="single" w:sz="4" w:space="0" w:color="auto"/>
              <w:bottom w:val="single" w:sz="4" w:space="0" w:color="auto"/>
            </w:tcBorders>
          </w:tcPr>
          <w:p w14:paraId="3CAB0C63" w14:textId="7739B560" w:rsidR="00A357A4" w:rsidRDefault="00A357A4" w:rsidP="00A357A4">
            <w:pPr>
              <w:adjustRightInd/>
              <w:jc w:val="both"/>
              <w:rPr>
                <w:sz w:val="22"/>
              </w:rPr>
            </w:pPr>
            <w:r>
              <w:rPr>
                <w:sz w:val="22"/>
              </w:rPr>
              <w:t>[</w:t>
            </w:r>
            <w:r>
              <w:rPr>
                <w:sz w:val="22"/>
              </w:rPr>
              <w:sym w:font="Wingdings" w:char="F06C"/>
            </w:r>
            <w:r>
              <w:rPr>
                <w:sz w:val="22"/>
              </w:rPr>
              <w:t>] 2024</w:t>
            </w:r>
          </w:p>
        </w:tc>
      </w:tr>
      <w:tr w:rsidR="00A357A4" w:rsidRPr="0044148C" w14:paraId="42080442" w14:textId="77777777" w:rsidTr="00124690">
        <w:trPr>
          <w:trHeight w:val="127"/>
        </w:trPr>
        <w:tc>
          <w:tcPr>
            <w:tcW w:w="2652" w:type="dxa"/>
            <w:tcBorders>
              <w:top w:val="single" w:sz="4" w:space="0" w:color="auto"/>
              <w:bottom w:val="single" w:sz="4" w:space="0" w:color="auto"/>
              <w:right w:val="single" w:sz="4" w:space="0" w:color="auto"/>
            </w:tcBorders>
          </w:tcPr>
          <w:p w14:paraId="2C5F594A" w14:textId="64154529" w:rsidR="00A357A4" w:rsidRDefault="00A357A4" w:rsidP="00A357A4">
            <w:pPr>
              <w:adjustRightInd/>
              <w:rPr>
                <w:sz w:val="22"/>
              </w:rPr>
            </w:pPr>
            <w:r>
              <w:rPr>
                <w:sz w:val="22"/>
              </w:rPr>
              <w:t xml:space="preserve">Class C </w:t>
            </w:r>
            <w:r w:rsidR="00FA2EFA">
              <w:rPr>
                <w:sz w:val="22"/>
              </w:rPr>
              <w:t>EUR</w:t>
            </w:r>
            <w:r>
              <w:rPr>
                <w:sz w:val="22"/>
              </w:rPr>
              <w:t xml:space="preserve"> (Accumulating)</w:t>
            </w:r>
          </w:p>
        </w:tc>
        <w:tc>
          <w:tcPr>
            <w:tcW w:w="3727" w:type="dxa"/>
            <w:tcBorders>
              <w:top w:val="single" w:sz="4" w:space="0" w:color="auto"/>
              <w:bottom w:val="single" w:sz="4" w:space="0" w:color="auto"/>
              <w:right w:val="single" w:sz="4" w:space="0" w:color="auto"/>
            </w:tcBorders>
          </w:tcPr>
          <w:p w14:paraId="60F133D0" w14:textId="685938A2" w:rsidR="00A357A4" w:rsidRDefault="00A357A4" w:rsidP="00A357A4">
            <w:pPr>
              <w:adjustRightInd/>
              <w:jc w:val="both"/>
              <w:rPr>
                <w:sz w:val="22"/>
              </w:rPr>
            </w:pPr>
            <w:r>
              <w:rPr>
                <w:sz w:val="22"/>
              </w:rPr>
              <w:t>[</w:t>
            </w:r>
            <w:r>
              <w:rPr>
                <w:sz w:val="22"/>
              </w:rPr>
              <w:sym w:font="Wingdings" w:char="F06C"/>
            </w:r>
            <w:r>
              <w:rPr>
                <w:sz w:val="22"/>
              </w:rPr>
              <w:t>] 2024</w:t>
            </w:r>
          </w:p>
        </w:tc>
        <w:tc>
          <w:tcPr>
            <w:tcW w:w="3727" w:type="dxa"/>
            <w:tcBorders>
              <w:top w:val="single" w:sz="4" w:space="0" w:color="auto"/>
              <w:left w:val="single" w:sz="4" w:space="0" w:color="auto"/>
              <w:bottom w:val="single" w:sz="4" w:space="0" w:color="auto"/>
            </w:tcBorders>
          </w:tcPr>
          <w:p w14:paraId="205D9ACA" w14:textId="3542621B" w:rsidR="00A357A4" w:rsidRDefault="00A357A4" w:rsidP="00A357A4">
            <w:pPr>
              <w:adjustRightInd/>
              <w:jc w:val="both"/>
              <w:rPr>
                <w:sz w:val="22"/>
              </w:rPr>
            </w:pPr>
            <w:r>
              <w:rPr>
                <w:sz w:val="22"/>
              </w:rPr>
              <w:t>[</w:t>
            </w:r>
            <w:r>
              <w:rPr>
                <w:sz w:val="22"/>
              </w:rPr>
              <w:sym w:font="Wingdings" w:char="F06C"/>
            </w:r>
            <w:r>
              <w:rPr>
                <w:sz w:val="22"/>
              </w:rPr>
              <w:t>] 2024</w:t>
            </w:r>
          </w:p>
        </w:tc>
      </w:tr>
      <w:tr w:rsidR="00A357A4" w:rsidRPr="0044148C" w14:paraId="1FC297CF" w14:textId="77777777" w:rsidTr="005473BC">
        <w:trPr>
          <w:trHeight w:val="127"/>
        </w:trPr>
        <w:tc>
          <w:tcPr>
            <w:tcW w:w="2652" w:type="dxa"/>
            <w:tcBorders>
              <w:top w:val="single" w:sz="4" w:space="0" w:color="auto"/>
              <w:bottom w:val="single" w:sz="4" w:space="0" w:color="auto"/>
              <w:right w:val="single" w:sz="4" w:space="0" w:color="auto"/>
            </w:tcBorders>
          </w:tcPr>
          <w:p w14:paraId="07264952" w14:textId="77777777" w:rsidR="00A357A4" w:rsidRDefault="00A357A4" w:rsidP="00A357A4">
            <w:pPr>
              <w:keepNext/>
              <w:rPr>
                <w:sz w:val="22"/>
              </w:rPr>
            </w:pPr>
            <w:r>
              <w:rPr>
                <w:sz w:val="22"/>
              </w:rPr>
              <w:t>Founders Share Class USD</w:t>
            </w:r>
          </w:p>
          <w:p w14:paraId="54CF5DA5" w14:textId="4D9D1B78" w:rsidR="00A357A4" w:rsidRPr="0044148C" w:rsidRDefault="00A357A4" w:rsidP="00A357A4">
            <w:pPr>
              <w:keepNext/>
              <w:rPr>
                <w:sz w:val="22"/>
              </w:rPr>
            </w:pPr>
          </w:p>
        </w:tc>
        <w:tc>
          <w:tcPr>
            <w:tcW w:w="3727" w:type="dxa"/>
            <w:tcBorders>
              <w:top w:val="single" w:sz="4" w:space="0" w:color="auto"/>
              <w:bottom w:val="single" w:sz="4" w:space="0" w:color="auto"/>
              <w:right w:val="single" w:sz="4" w:space="0" w:color="auto"/>
            </w:tcBorders>
          </w:tcPr>
          <w:p w14:paraId="15CA59CE" w14:textId="626AEFC5" w:rsidR="00A357A4" w:rsidRDefault="00A357A4" w:rsidP="00A357A4">
            <w:pPr>
              <w:adjustRightInd/>
              <w:jc w:val="both"/>
              <w:rPr>
                <w:sz w:val="22"/>
              </w:rPr>
            </w:pPr>
            <w:r>
              <w:rPr>
                <w:sz w:val="22"/>
              </w:rPr>
              <w:t>17 April 2023</w:t>
            </w:r>
          </w:p>
        </w:tc>
        <w:tc>
          <w:tcPr>
            <w:tcW w:w="3727" w:type="dxa"/>
            <w:tcBorders>
              <w:top w:val="single" w:sz="4" w:space="0" w:color="auto"/>
              <w:left w:val="single" w:sz="4" w:space="0" w:color="auto"/>
              <w:bottom w:val="single" w:sz="4" w:space="0" w:color="auto"/>
            </w:tcBorders>
          </w:tcPr>
          <w:p w14:paraId="32486E77" w14:textId="2211893B" w:rsidR="00A357A4" w:rsidRPr="0044148C" w:rsidRDefault="00A357A4" w:rsidP="00A357A4">
            <w:pPr>
              <w:adjustRightInd/>
              <w:jc w:val="both"/>
              <w:rPr>
                <w:sz w:val="22"/>
              </w:rPr>
            </w:pPr>
            <w:r>
              <w:rPr>
                <w:sz w:val="22"/>
              </w:rPr>
              <w:t>17 October 2023</w:t>
            </w:r>
          </w:p>
        </w:tc>
      </w:tr>
      <w:tr w:rsidR="00A357A4" w:rsidRPr="0044148C" w14:paraId="02FFC315" w14:textId="77777777" w:rsidTr="00124690">
        <w:trPr>
          <w:trHeight w:val="127"/>
        </w:trPr>
        <w:tc>
          <w:tcPr>
            <w:tcW w:w="2652" w:type="dxa"/>
            <w:tcBorders>
              <w:top w:val="single" w:sz="4" w:space="0" w:color="auto"/>
              <w:bottom w:val="single" w:sz="4" w:space="0" w:color="auto"/>
              <w:right w:val="single" w:sz="4" w:space="0" w:color="auto"/>
            </w:tcBorders>
          </w:tcPr>
          <w:p w14:paraId="30091F14" w14:textId="77777777" w:rsidR="00A357A4" w:rsidRDefault="00A357A4" w:rsidP="00A357A4">
            <w:pPr>
              <w:keepNext/>
              <w:rPr>
                <w:sz w:val="22"/>
              </w:rPr>
            </w:pPr>
            <w:r>
              <w:rPr>
                <w:sz w:val="22"/>
              </w:rPr>
              <w:t>Founders Share Class GBP</w:t>
            </w:r>
          </w:p>
          <w:p w14:paraId="58D38B35" w14:textId="6EE46371" w:rsidR="00A357A4" w:rsidRDefault="00A357A4" w:rsidP="00A357A4">
            <w:pPr>
              <w:keepNext/>
              <w:rPr>
                <w:sz w:val="22"/>
              </w:rPr>
            </w:pPr>
          </w:p>
        </w:tc>
        <w:tc>
          <w:tcPr>
            <w:tcW w:w="3727" w:type="dxa"/>
            <w:tcBorders>
              <w:top w:val="single" w:sz="4" w:space="0" w:color="auto"/>
              <w:bottom w:val="single" w:sz="4" w:space="0" w:color="auto"/>
              <w:right w:val="single" w:sz="4" w:space="0" w:color="auto"/>
            </w:tcBorders>
          </w:tcPr>
          <w:p w14:paraId="46906751" w14:textId="65366E8A" w:rsidR="00A357A4" w:rsidRDefault="00A357A4" w:rsidP="00A357A4">
            <w:pPr>
              <w:adjustRightInd/>
              <w:jc w:val="both"/>
              <w:rPr>
                <w:sz w:val="22"/>
              </w:rPr>
            </w:pPr>
            <w:r>
              <w:rPr>
                <w:sz w:val="22"/>
              </w:rPr>
              <w:t>17 April 2023</w:t>
            </w:r>
          </w:p>
        </w:tc>
        <w:tc>
          <w:tcPr>
            <w:tcW w:w="3727" w:type="dxa"/>
            <w:tcBorders>
              <w:top w:val="single" w:sz="4" w:space="0" w:color="auto"/>
              <w:left w:val="single" w:sz="4" w:space="0" w:color="auto"/>
              <w:bottom w:val="single" w:sz="4" w:space="0" w:color="auto"/>
            </w:tcBorders>
          </w:tcPr>
          <w:p w14:paraId="2CD859F4" w14:textId="42CF1571" w:rsidR="00A357A4" w:rsidRDefault="00A357A4" w:rsidP="00A357A4">
            <w:pPr>
              <w:adjustRightInd/>
              <w:jc w:val="both"/>
              <w:rPr>
                <w:sz w:val="22"/>
              </w:rPr>
            </w:pPr>
            <w:r>
              <w:rPr>
                <w:sz w:val="22"/>
              </w:rPr>
              <w:t>17 October 2023</w:t>
            </w:r>
          </w:p>
        </w:tc>
      </w:tr>
    </w:tbl>
    <w:p w14:paraId="0746AC1B" w14:textId="77777777" w:rsidR="00B335DD" w:rsidRPr="0044148C" w:rsidRDefault="00B335DD">
      <w:pPr>
        <w:adjustRightInd/>
        <w:jc w:val="both"/>
        <w:rPr>
          <w:sz w:val="22"/>
          <w:lang w:eastAsia="en-IE"/>
        </w:rPr>
      </w:pPr>
    </w:p>
    <w:p w14:paraId="3D453B5C" w14:textId="77777777" w:rsidR="00F2188E" w:rsidRPr="0044148C" w:rsidRDefault="00F2188E">
      <w:pPr>
        <w:rPr>
          <w:sz w:val="22"/>
        </w:rPr>
      </w:pPr>
    </w:p>
    <w:p w14:paraId="24031110" w14:textId="77777777" w:rsidR="00F2188E" w:rsidRPr="0044148C" w:rsidRDefault="00F2188E">
      <w:pPr>
        <w:rPr>
          <w:sz w:val="22"/>
        </w:rPr>
      </w:pPr>
    </w:p>
    <w:p w14:paraId="24B26815" w14:textId="77777777" w:rsidR="00297AA4" w:rsidRDefault="00297AA4">
      <w:pPr>
        <w:rPr>
          <w:sz w:val="22"/>
        </w:rPr>
      </w:pPr>
    </w:p>
    <w:p w14:paraId="40A0A263" w14:textId="77777777" w:rsidR="00733128" w:rsidRDefault="00733128">
      <w:pPr>
        <w:rPr>
          <w:sz w:val="22"/>
        </w:rPr>
        <w:sectPr w:rsidR="00733128" w:rsidSect="00AE6B78">
          <w:footerReference w:type="default" r:id="rId27"/>
          <w:pgSz w:w="16833" w:h="11908" w:orient="landscape"/>
          <w:pgMar w:top="1134" w:right="1134" w:bottom="1134" w:left="1134" w:header="720" w:footer="720" w:gutter="0"/>
          <w:cols w:space="720"/>
          <w:noEndnote/>
          <w:titlePg/>
        </w:sectPr>
      </w:pPr>
    </w:p>
    <w:p w14:paraId="6B4FBC3A" w14:textId="27AA7B0D" w:rsidR="00297AA4" w:rsidRPr="003A5D62" w:rsidRDefault="00733128" w:rsidP="003A5D62">
      <w:pPr>
        <w:pStyle w:val="Heading1"/>
        <w:adjustRightInd/>
        <w:spacing w:before="0"/>
        <w:jc w:val="center"/>
        <w:rPr>
          <w:rFonts w:ascii="Times New Roman" w:eastAsia="MS Gothic" w:hAnsi="Times New Roman" w:cs="Times New Roman"/>
          <w:b/>
          <w:color w:val="auto"/>
          <w:sz w:val="22"/>
          <w:szCs w:val="24"/>
        </w:rPr>
      </w:pPr>
      <w:r w:rsidRPr="003A5D62">
        <w:rPr>
          <w:rFonts w:ascii="Times New Roman" w:eastAsia="MS Gothic" w:hAnsi="Times New Roman" w:cs="Times New Roman"/>
          <w:b/>
          <w:color w:val="auto"/>
          <w:sz w:val="22"/>
          <w:szCs w:val="24"/>
        </w:rPr>
        <w:lastRenderedPageBreak/>
        <w:t>APPENDIX 2</w:t>
      </w:r>
    </w:p>
    <w:p w14:paraId="523F6C0D" w14:textId="39BAB332" w:rsidR="00733128" w:rsidRDefault="00733128" w:rsidP="00733128">
      <w:pPr>
        <w:jc w:val="center"/>
        <w:rPr>
          <w:b/>
          <w:bCs/>
          <w:sz w:val="22"/>
        </w:rPr>
      </w:pPr>
    </w:p>
    <w:p w14:paraId="67924402" w14:textId="688CCE1C" w:rsidR="00733128" w:rsidRPr="003A5D62" w:rsidRDefault="00733128" w:rsidP="003A5D62">
      <w:pPr>
        <w:pStyle w:val="CM13"/>
        <w:spacing w:after="457" w:line="231" w:lineRule="atLeast"/>
        <w:jc w:val="center"/>
        <w:rPr>
          <w:rFonts w:ascii="Times New Roman" w:hAnsi="Times New Roman" w:cs="Times New Roman"/>
          <w:sz w:val="22"/>
          <w:szCs w:val="22"/>
        </w:rPr>
      </w:pPr>
      <w:r>
        <w:rPr>
          <w:rFonts w:ascii="Times New Roman" w:hAnsi="Times New Roman" w:cs="Times New Roman"/>
          <w:b/>
          <w:bCs/>
          <w:color w:val="000000"/>
          <w:sz w:val="22"/>
          <w:szCs w:val="22"/>
        </w:rPr>
        <w:t>INFORMATION</w:t>
      </w:r>
      <w:r w:rsidRPr="004E5B32">
        <w:rPr>
          <w:rFonts w:ascii="Times New Roman" w:hAnsi="Times New Roman" w:cs="Times New Roman"/>
          <w:b/>
          <w:bCs/>
          <w:color w:val="000000"/>
          <w:sz w:val="22"/>
          <w:szCs w:val="22"/>
        </w:rPr>
        <w:t xml:space="preserve"> FOR INVESTORS IN SWITZERLAND ONLY </w:t>
      </w:r>
    </w:p>
    <w:p w14:paraId="5615AADE" w14:textId="77777777" w:rsidR="00733128" w:rsidRPr="00733128" w:rsidRDefault="00733128" w:rsidP="00733128">
      <w:pPr>
        <w:pStyle w:val="ACLevel1"/>
        <w:numPr>
          <w:ilvl w:val="0"/>
          <w:numId w:val="0"/>
        </w:numPr>
        <w:ind w:hanging="11"/>
      </w:pPr>
      <w:r w:rsidRPr="00733128">
        <w:t>The offering of Shares in Switzerland will be exclusively made to, and directed at, qualified investors (the “</w:t>
      </w:r>
      <w:r w:rsidRPr="00733128">
        <w:rPr>
          <w:b/>
          <w:bCs/>
        </w:rPr>
        <w:t>Qualified Investors</w:t>
      </w:r>
      <w:r w:rsidRPr="00733128">
        <w:t>”), as defined in the Swiss Collective Investment Schemes Act of 23 June 2006, as amended (CISA) and its implementing ordinance, the Swiss Collective Investment Schemes Ordinance of 22 November 2006 (CISO). Accordingly, the Fund has not been and will not be registered with the Swiss Financial Market Supervisory Authority (FINMA).</w:t>
      </w:r>
    </w:p>
    <w:p w14:paraId="1848DACC" w14:textId="77777777" w:rsidR="00733128" w:rsidRPr="00733128" w:rsidRDefault="00733128" w:rsidP="00733128">
      <w:pPr>
        <w:pStyle w:val="Default"/>
        <w:rPr>
          <w:sz w:val="22"/>
          <w:szCs w:val="22"/>
        </w:rPr>
      </w:pPr>
    </w:p>
    <w:p w14:paraId="3DFE76E9" w14:textId="1C817A19" w:rsidR="00733128" w:rsidRPr="00733128" w:rsidRDefault="00733128" w:rsidP="00733128">
      <w:pPr>
        <w:pStyle w:val="ACLevel1"/>
        <w:keepNext/>
      </w:pPr>
      <w:r w:rsidRPr="00733128">
        <w:rPr>
          <w:rStyle w:val="ACLevel1asheadingtext"/>
        </w:rPr>
        <w:t>Representative</w:t>
      </w:r>
    </w:p>
    <w:p w14:paraId="4100511B" w14:textId="2FC7002F" w:rsidR="00733128" w:rsidRPr="00022E28" w:rsidRDefault="00733128" w:rsidP="003A5D62">
      <w:r w:rsidRPr="003A5D62">
        <w:rPr>
          <w:sz w:val="22"/>
          <w:szCs w:val="22"/>
        </w:rPr>
        <w:t xml:space="preserve">The representative in Switzerland is FundRock Switzerland SA, Route de </w:t>
      </w:r>
      <w:proofErr w:type="spellStart"/>
      <w:r w:rsidRPr="003A5D62">
        <w:rPr>
          <w:sz w:val="22"/>
          <w:szCs w:val="22"/>
        </w:rPr>
        <w:t>Cité</w:t>
      </w:r>
      <w:proofErr w:type="spellEnd"/>
      <w:r w:rsidRPr="003A5D62">
        <w:rPr>
          <w:sz w:val="22"/>
          <w:szCs w:val="22"/>
        </w:rPr>
        <w:t xml:space="preserve">-Ouest 2, 1196 Gland, Switzerland. </w:t>
      </w:r>
    </w:p>
    <w:p w14:paraId="7BC49D32" w14:textId="4B738B92" w:rsidR="00733128" w:rsidRPr="00733128" w:rsidRDefault="00733128" w:rsidP="00733128">
      <w:pPr>
        <w:pStyle w:val="ACLevel1"/>
        <w:keepNext/>
      </w:pPr>
      <w:r w:rsidRPr="00733128">
        <w:rPr>
          <w:rStyle w:val="ACLevel1asheadingtext"/>
        </w:rPr>
        <w:t>Paying agent</w:t>
      </w:r>
    </w:p>
    <w:p w14:paraId="3149B7D7" w14:textId="5E802DCF" w:rsidR="00733128" w:rsidRPr="00733128" w:rsidRDefault="00733128" w:rsidP="00733128">
      <w:pPr>
        <w:pStyle w:val="ACLevel1"/>
        <w:keepNext/>
      </w:pPr>
      <w:r w:rsidRPr="00733128">
        <w:t xml:space="preserve">The paying agent in Switzerland is Banque </w:t>
      </w:r>
      <w:proofErr w:type="spellStart"/>
      <w:r w:rsidRPr="00733128">
        <w:t>Cantonale</w:t>
      </w:r>
      <w:proofErr w:type="spellEnd"/>
      <w:r w:rsidRPr="00733128">
        <w:t xml:space="preserve"> de Genève, 17, </w:t>
      </w:r>
      <w:proofErr w:type="spellStart"/>
      <w:r w:rsidRPr="00733128">
        <w:t>quai</w:t>
      </w:r>
      <w:proofErr w:type="spellEnd"/>
      <w:r w:rsidRPr="00733128">
        <w:t xml:space="preserve"> de </w:t>
      </w:r>
      <w:proofErr w:type="spellStart"/>
      <w:r w:rsidRPr="00733128">
        <w:t>l’Ile</w:t>
      </w:r>
      <w:proofErr w:type="spellEnd"/>
      <w:r w:rsidRPr="00733128">
        <w:t xml:space="preserve">, 1204 Geneva, Switzerland. </w:t>
      </w:r>
      <w:r w:rsidRPr="00733128">
        <w:rPr>
          <w:rStyle w:val="ACLevel1asheadingtext"/>
        </w:rPr>
        <w:t>Location where the relevant documentation can be obtained</w:t>
      </w:r>
    </w:p>
    <w:p w14:paraId="741E78B6" w14:textId="3A6398FE" w:rsidR="00733128" w:rsidRPr="003A5D62" w:rsidRDefault="00733128" w:rsidP="00733128">
      <w:pPr>
        <w:rPr>
          <w:sz w:val="22"/>
          <w:szCs w:val="22"/>
        </w:rPr>
      </w:pPr>
      <w:r w:rsidRPr="003A5D62">
        <w:rPr>
          <w:sz w:val="22"/>
          <w:szCs w:val="22"/>
        </w:rPr>
        <w:t>The Prospectus, the instrument of incorporation of the ICAV and annual and semi-annual report, if any can be obtained free of charge from the representative in Switzerland.</w:t>
      </w:r>
    </w:p>
    <w:p w14:paraId="19F121F7" w14:textId="77777777" w:rsidR="00733128" w:rsidRPr="00022E28" w:rsidRDefault="00733128" w:rsidP="003A5D62"/>
    <w:p w14:paraId="5009D481" w14:textId="77777777" w:rsidR="00733128" w:rsidRPr="00733128" w:rsidRDefault="00733128" w:rsidP="00733128">
      <w:pPr>
        <w:pStyle w:val="ACLevel1"/>
        <w:keepNext/>
      </w:pPr>
      <w:r w:rsidRPr="00733128">
        <w:rPr>
          <w:rStyle w:val="ACLevel1asheadingtext"/>
        </w:rPr>
        <w:t>Place of performance and jurisdiction</w:t>
      </w:r>
    </w:p>
    <w:p w14:paraId="242A3268" w14:textId="77777777" w:rsidR="00733128" w:rsidRPr="00022E28" w:rsidRDefault="00733128" w:rsidP="003A5D62">
      <w:r w:rsidRPr="003A5D62">
        <w:rPr>
          <w:sz w:val="22"/>
          <w:szCs w:val="22"/>
        </w:rPr>
        <w:t xml:space="preserve">With regards to the Shares offered in Switzerland, the place of performance is the registered office of the representative and the place of jurisdiction is at the registered office of the representative or at the registered office or place of residence of the investor. </w:t>
      </w:r>
    </w:p>
    <w:p w14:paraId="01DC7595" w14:textId="77777777" w:rsidR="00733128" w:rsidRPr="004E5B32" w:rsidRDefault="00733128" w:rsidP="00733128"/>
    <w:p w14:paraId="4A795723" w14:textId="77777777" w:rsidR="00733128" w:rsidRPr="003A5D62" w:rsidRDefault="00733128" w:rsidP="003A5D62">
      <w:pPr>
        <w:jc w:val="center"/>
        <w:rPr>
          <w:b/>
          <w:bCs/>
          <w:sz w:val="22"/>
        </w:rPr>
      </w:pPr>
    </w:p>
    <w:sectPr w:rsidR="00733128" w:rsidRPr="003A5D62" w:rsidSect="00AE6B78">
      <w:pgSz w:w="11908" w:h="16833"/>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790E" w14:textId="77777777" w:rsidR="00AE6B78" w:rsidRDefault="00AE6B78">
      <w:r>
        <w:separator/>
      </w:r>
    </w:p>
  </w:endnote>
  <w:endnote w:type="continuationSeparator" w:id="0">
    <w:p w14:paraId="01C96E4C" w14:textId="77777777" w:rsidR="00AE6B78" w:rsidRDefault="00AE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4BF8" w14:textId="77777777" w:rsidR="00B335DD" w:rsidRDefault="00B335DD">
    <w:pPr>
      <w:widowControl w:val="0"/>
      <w:autoSpaceDE w:val="0"/>
      <w:autoSpaceDN w:val="0"/>
      <w:rPr>
        <w:lang w:val="en-IE" w:eastAsia="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13BB" w14:textId="77777777" w:rsidR="00B335DD" w:rsidRDefault="00BD3845">
    <w:pPr>
      <w:pStyle w:val="Footer"/>
      <w:adjustRightInd/>
      <w:rPr>
        <w:rFonts w:ascii="Book Antiqua" w:hAnsi="Book Antiqua"/>
        <w:sz w:val="16"/>
      </w:rPr>
    </w:pPr>
    <w:r>
      <w:rPr>
        <w:rFonts w:ascii="Book Antiqua" w:hAnsi="Book Antiqua"/>
        <w:sz w:val="16"/>
      </w:rPr>
      <w:tab/>
    </w:r>
    <w:r>
      <w:rPr>
        <w:rFonts w:ascii="Book Antiqua" w:hAnsi="Book Antiqua"/>
        <w:sz w:val="16"/>
      </w:rPr>
      <w:fldChar w:fldCharType="begin"/>
    </w:r>
    <w:r>
      <w:rPr>
        <w:rFonts w:ascii="Book Antiqua" w:hAnsi="Book Antiqua"/>
        <w:sz w:val="16"/>
      </w:rPr>
      <w:instrText>PAGE \* MERGEFORMAT</w:instrText>
    </w:r>
    <w:r>
      <w:rPr>
        <w:rFonts w:ascii="Book Antiqua" w:hAnsi="Book Antiqua"/>
        <w:sz w:val="16"/>
      </w:rPr>
      <w:fldChar w:fldCharType="separate"/>
    </w:r>
    <w:r>
      <w:rPr>
        <w:rFonts w:ascii="Book Antiqua" w:hAnsi="Book Antiqua"/>
        <w:sz w:val="16"/>
      </w:rPr>
      <w:t>1</w:t>
    </w:r>
    <w:r>
      <w:rPr>
        <w:rFonts w:ascii="Book Antiqua" w:hAnsi="Book Antiqu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5F3D" w14:textId="2809D1D0" w:rsidR="00B335DD" w:rsidRDefault="00BD3845">
    <w:pPr>
      <w:pStyle w:val="Footer"/>
      <w:adjustRightInd/>
      <w:jc w:val="right"/>
      <w:rPr>
        <w:i/>
        <w:sz w:val="16"/>
      </w:rPr>
    </w:pPr>
    <w:r>
      <w:rPr>
        <w:i/>
        <w:sz w:val="16"/>
      </w:rPr>
      <w:fldChar w:fldCharType="begin"/>
    </w:r>
    <w:r>
      <w:rPr>
        <w:i/>
        <w:sz w:val="16"/>
      </w:rPr>
      <w:instrText>DOCPROPERTY "ACMatter"  \* MERGEFORMAT</w:instrText>
    </w:r>
    <w:r>
      <w:rPr>
        <w:i/>
        <w:sz w:val="16"/>
      </w:rPr>
      <w:fldChar w:fldCharType="separate"/>
    </w:r>
    <w:r w:rsidR="00FA3B15">
      <w:rPr>
        <w:i/>
        <w:sz w:val="16"/>
      </w:rPr>
      <w:t>GO135/001/</w:t>
    </w:r>
    <w:r>
      <w:rPr>
        <w:i/>
        <w:sz w:val="16"/>
      </w:rPr>
      <w:fldChar w:fldCharType="end"/>
    </w:r>
    <w:r>
      <w:rPr>
        <w:i/>
        <w:sz w:val="16"/>
      </w:rPr>
      <w:fldChar w:fldCharType="begin"/>
    </w:r>
    <w:r>
      <w:rPr>
        <w:i/>
        <w:sz w:val="16"/>
      </w:rPr>
      <w:instrText>DOCPROPERTY "ACDocRef"  \* MERGEFORMAT</w:instrText>
    </w:r>
    <w:r>
      <w:rPr>
        <w:i/>
        <w:sz w:val="16"/>
      </w:rPr>
      <w:fldChar w:fldCharType="separate"/>
    </w:r>
    <w:r w:rsidR="00FA3B15">
      <w:rPr>
        <w:i/>
        <w:sz w:val="16"/>
      </w:rPr>
      <w:t>AC#43365007.37</w:t>
    </w:r>
    <w:r>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932E" w14:textId="77777777" w:rsidR="00B335DD" w:rsidRDefault="00B335DD">
    <w:pPr>
      <w:pStyle w:val="Footer"/>
      <w:adjustRightI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3360" w14:textId="77777777" w:rsidR="00B335DD" w:rsidRDefault="00B335DD">
    <w:pPr>
      <w:pStyle w:val="Footer"/>
      <w:adjustRightI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D719" w14:textId="77777777" w:rsidR="00B335DD" w:rsidRDefault="00BD3845">
    <w:pPr>
      <w:pStyle w:val="Footer"/>
      <w:adjustRightInd/>
      <w:jc w:val="center"/>
      <w:rPr>
        <w:rFonts w:ascii="Book Antiqua" w:hAnsi="Book Antiqua"/>
        <w:sz w:val="16"/>
      </w:rPr>
    </w:pPr>
    <w:r>
      <w:rPr>
        <w:rFonts w:ascii="Book Antiqua" w:hAnsi="Book Antiqua"/>
        <w:sz w:val="16"/>
      </w:rPr>
      <w:fldChar w:fldCharType="begin"/>
    </w:r>
    <w:r>
      <w:rPr>
        <w:rFonts w:ascii="Book Antiqua" w:hAnsi="Book Antiqua"/>
        <w:sz w:val="16"/>
      </w:rPr>
      <w:instrText>PAGE \* MERGEFORMAT</w:instrText>
    </w:r>
    <w:r>
      <w:rPr>
        <w:rFonts w:ascii="Book Antiqua" w:hAnsi="Book Antiqua"/>
        <w:sz w:val="16"/>
      </w:rPr>
      <w:fldChar w:fldCharType="separate"/>
    </w:r>
    <w:r w:rsidR="00D40859">
      <w:rPr>
        <w:rFonts w:ascii="Book Antiqua" w:hAnsi="Book Antiqua"/>
        <w:noProof/>
        <w:sz w:val="16"/>
      </w:rPr>
      <w:t>12</w:t>
    </w:r>
    <w:r>
      <w:rPr>
        <w:rFonts w:ascii="Book Antiqua" w:hAnsi="Book Antiqu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E4D0" w14:textId="77777777" w:rsidR="00B335DD" w:rsidRDefault="00BD3845">
    <w:pPr>
      <w:pStyle w:val="Footer"/>
      <w:adjustRightInd/>
      <w:jc w:val="center"/>
      <w:rPr>
        <w:rFonts w:ascii="Book Antiqua" w:hAnsi="Book Antiqua"/>
        <w:sz w:val="16"/>
      </w:rPr>
    </w:pPr>
    <w:r>
      <w:rPr>
        <w:rFonts w:ascii="Book Antiqua" w:hAnsi="Book Antiqua"/>
        <w:sz w:val="16"/>
      </w:rPr>
      <w:fldChar w:fldCharType="begin"/>
    </w:r>
    <w:r>
      <w:rPr>
        <w:rFonts w:ascii="Book Antiqua" w:hAnsi="Book Antiqua"/>
        <w:sz w:val="16"/>
      </w:rPr>
      <w:instrText>PAGE \* MERGEFORMAT</w:instrText>
    </w:r>
    <w:r>
      <w:rPr>
        <w:rFonts w:ascii="Book Antiqua" w:hAnsi="Book Antiqua"/>
        <w:sz w:val="16"/>
      </w:rPr>
      <w:fldChar w:fldCharType="separate"/>
    </w:r>
    <w:r w:rsidR="00D40859">
      <w:rPr>
        <w:rFonts w:ascii="Book Antiqua" w:hAnsi="Book Antiqua"/>
        <w:noProof/>
        <w:sz w:val="16"/>
      </w:rPr>
      <w:t>3</w:t>
    </w:r>
    <w:r>
      <w:rPr>
        <w:rFonts w:ascii="Book Antiqua" w:hAnsi="Book Antiqua"/>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39EA" w14:textId="77777777" w:rsidR="00B335DD" w:rsidRDefault="00BD3845">
    <w:pPr>
      <w:pStyle w:val="Footer"/>
      <w:adjustRightInd/>
      <w:jc w:val="center"/>
      <w:rPr>
        <w:rFonts w:ascii="Book Antiqua" w:hAnsi="Book Antiqua"/>
        <w:sz w:val="16"/>
      </w:rPr>
    </w:pPr>
    <w:r>
      <w:rPr>
        <w:rFonts w:ascii="Book Antiqua" w:hAnsi="Book Antiqua"/>
        <w:sz w:val="16"/>
      </w:rPr>
      <w:fldChar w:fldCharType="begin"/>
    </w:r>
    <w:r>
      <w:rPr>
        <w:rFonts w:ascii="Book Antiqua" w:hAnsi="Book Antiqua"/>
        <w:sz w:val="16"/>
      </w:rPr>
      <w:instrText>PAGE \* MERGEFORMAT</w:instrText>
    </w:r>
    <w:r>
      <w:rPr>
        <w:rFonts w:ascii="Book Antiqua" w:hAnsi="Book Antiqua"/>
        <w:sz w:val="16"/>
      </w:rPr>
      <w:fldChar w:fldCharType="separate"/>
    </w:r>
    <w:r w:rsidR="00D40859">
      <w:rPr>
        <w:rFonts w:ascii="Book Antiqua" w:hAnsi="Book Antiqua"/>
        <w:noProof/>
        <w:sz w:val="16"/>
      </w:rPr>
      <w:t>14</w:t>
    </w:r>
    <w:r>
      <w:rPr>
        <w:rFonts w:ascii="Book Antiqua" w:hAnsi="Book Antiqu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5298" w14:textId="77777777" w:rsidR="00AE6B78" w:rsidRDefault="00AE6B78">
      <w:r>
        <w:separator/>
      </w:r>
    </w:p>
  </w:footnote>
  <w:footnote w:type="continuationSeparator" w:id="0">
    <w:p w14:paraId="0315FB81" w14:textId="77777777" w:rsidR="00AE6B78" w:rsidRDefault="00AE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EB1D" w14:textId="77777777" w:rsidR="00B335DD" w:rsidRDefault="00B335DD">
    <w:pPr>
      <w:widowControl w:val="0"/>
      <w:autoSpaceDE w:val="0"/>
      <w:autoSpaceDN w:val="0"/>
      <w:rPr>
        <w:lang w:val="en-IE" w:eastAsia="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CFE7" w14:textId="77777777" w:rsidR="00B335DD" w:rsidRDefault="00B335DD">
    <w:pPr>
      <w:widowControl w:val="0"/>
      <w:autoSpaceDE w:val="0"/>
      <w:autoSpaceDN w:val="0"/>
      <w:rPr>
        <w:lang w:val="en-IE" w:eastAsia="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44C7" w14:textId="77777777" w:rsidR="0035241A" w:rsidRDefault="003524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CBA4" w14:textId="77777777" w:rsidR="00B335DD" w:rsidRDefault="00B335DD">
    <w:pPr>
      <w:pStyle w:val="Header"/>
      <w:adjustRightI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D6F7" w14:textId="77777777" w:rsidR="00B335DD" w:rsidRDefault="00BD3845">
    <w:pPr>
      <w:pStyle w:val="Header"/>
      <w:pBdr>
        <w:bottom w:val="single" w:sz="12" w:space="1" w:color="auto"/>
      </w:pBdr>
      <w:adjustRightInd/>
      <w:rPr>
        <w:b/>
      </w:rPr>
    </w:pPr>
    <w:r>
      <w:rPr>
        <w:b/>
      </w:rP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0797" w14:textId="77777777" w:rsidR="00B335DD" w:rsidRDefault="00B335DD">
    <w:pPr>
      <w:adjustRightI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5BA7" w14:textId="77777777" w:rsidR="00B335DD" w:rsidRDefault="00B335DD">
    <w:pPr>
      <w:pStyle w:val="Header"/>
      <w:adjustRightI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9170" w14:textId="77777777" w:rsidR="00B335DD" w:rsidRDefault="00B335DD">
    <w:pPr>
      <w:pStyle w:val="Header"/>
      <w:adjustRightI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F4F14C"/>
    <w:multiLevelType w:val="hybridMultilevel"/>
    <w:tmpl w:val="19FC33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4045D"/>
    <w:multiLevelType w:val="multilevel"/>
    <w:tmpl w:val="7E8EA838"/>
    <w:lvl w:ilvl="0">
      <w:start w:val="1"/>
      <w:numFmt w:val="decimal"/>
      <w:lvlText w:val="%1."/>
      <w:lvlJc w:val="left"/>
      <w:pPr>
        <w:tabs>
          <w:tab w:val="left" w:pos="720"/>
        </w:tabs>
        <w:ind w:left="720" w:hanging="720"/>
      </w:pPr>
      <w:rPr>
        <w:b w:val="0"/>
        <w:i w:val="0"/>
      </w:rPr>
    </w:lvl>
    <w:lvl w:ilvl="1">
      <w:start w:val="1"/>
      <w:numFmt w:val="decimal"/>
      <w:lvlText w:val="%1.%2"/>
      <w:lvlJc w:val="left"/>
      <w:pPr>
        <w:tabs>
          <w:tab w:val="left" w:pos="720"/>
        </w:tabs>
        <w:ind w:left="720" w:hanging="720"/>
      </w:pPr>
    </w:lvl>
    <w:lvl w:ilvl="2">
      <w:start w:val="1"/>
      <w:numFmt w:val="lowerLetter"/>
      <w:lvlText w:val="(%3)"/>
      <w:lvlJc w:val="left"/>
      <w:pPr>
        <w:tabs>
          <w:tab w:val="left" w:pos="1440"/>
        </w:tabs>
        <w:ind w:left="1440" w:hanging="720"/>
      </w:pPr>
    </w:lvl>
    <w:lvl w:ilvl="3">
      <w:start w:val="1"/>
      <w:numFmt w:val="lowerRoman"/>
      <w:pStyle w:val="MFNumLev4"/>
      <w:lvlText w:val="(%4)"/>
      <w:lvlJc w:val="left"/>
      <w:pPr>
        <w:tabs>
          <w:tab w:val="left" w:pos="2160"/>
        </w:tabs>
        <w:ind w:left="2160" w:hanging="720"/>
      </w:pPr>
    </w:lvl>
    <w:lvl w:ilvl="4">
      <w:start w:val="1"/>
      <w:numFmt w:val="upperLetter"/>
      <w:pStyle w:val="MFNumLev5"/>
      <w:lvlText w:val="(%5)"/>
      <w:lvlJc w:val="left"/>
      <w:pPr>
        <w:tabs>
          <w:tab w:val="left" w:pos="2880"/>
        </w:tabs>
        <w:ind w:left="2880" w:hanging="720"/>
      </w:pPr>
    </w:lvl>
    <w:lvl w:ilvl="5">
      <w:start w:val="1"/>
      <w:numFmt w:val="decimal"/>
      <w:lvlText w:val="(%6)"/>
      <w:lvlJc w:val="left"/>
      <w:pPr>
        <w:tabs>
          <w:tab w:val="left" w:pos="3600"/>
        </w:tabs>
        <w:ind w:left="3600" w:hanging="720"/>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2" w15:restartNumberingAfterBreak="0">
    <w:nsid w:val="15A647CF"/>
    <w:multiLevelType w:val="hybridMultilevel"/>
    <w:tmpl w:val="F2647B8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2F6385E"/>
    <w:multiLevelType w:val="hybridMultilevel"/>
    <w:tmpl w:val="8D36FD6E"/>
    <w:lvl w:ilvl="0" w:tplc="FFFFFFFF">
      <w:start w:val="1"/>
      <w:numFmt w:val="lowerLetter"/>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84E4152"/>
    <w:multiLevelType w:val="multilevel"/>
    <w:tmpl w:val="F18AFFC2"/>
    <w:lvl w:ilvl="0">
      <w:start w:val="1"/>
      <w:numFmt w:val="decimal"/>
      <w:pStyle w:val="ACSchLv1"/>
      <w:lvlText w:val="%1."/>
      <w:lvlJc w:val="left"/>
      <w:pPr>
        <w:tabs>
          <w:tab w:val="left" w:pos="720"/>
        </w:tabs>
        <w:ind w:left="720" w:hanging="720"/>
      </w:pPr>
      <w:rPr>
        <w:b w:val="0"/>
        <w:i w:val="0"/>
        <w:caps w:val="0"/>
        <w:smallCaps w:val="0"/>
        <w:strike w:val="0"/>
        <w:dstrike w:val="0"/>
        <w:color w:val="000000"/>
        <w:sz w:val="22"/>
      </w:rPr>
    </w:lvl>
    <w:lvl w:ilvl="1">
      <w:start w:val="1"/>
      <w:numFmt w:val="lowerLetter"/>
      <w:pStyle w:val="ACSchLv2"/>
      <w:lvlText w:val="(%2)"/>
      <w:lvlJc w:val="left"/>
      <w:pPr>
        <w:tabs>
          <w:tab w:val="left" w:pos="1440"/>
        </w:tabs>
        <w:ind w:left="1440" w:hanging="720"/>
      </w:pPr>
      <w:rPr>
        <w:b w:val="0"/>
        <w:i w:val="0"/>
        <w:caps w:val="0"/>
        <w:smallCaps w:val="0"/>
        <w:strike w:val="0"/>
        <w:dstrike w:val="0"/>
        <w:color w:val="000000"/>
        <w:sz w:val="22"/>
      </w:rPr>
    </w:lvl>
    <w:lvl w:ilvl="2">
      <w:start w:val="1"/>
      <w:numFmt w:val="lowerRoman"/>
      <w:pStyle w:val="ACSchLv3"/>
      <w:lvlText w:val="(%3)"/>
      <w:lvlJc w:val="left"/>
      <w:pPr>
        <w:tabs>
          <w:tab w:val="left" w:pos="2160"/>
        </w:tabs>
        <w:ind w:left="2160" w:hanging="720"/>
      </w:pPr>
      <w:rPr>
        <w:b w:val="0"/>
        <w:i w:val="0"/>
        <w:caps w:val="0"/>
        <w:smallCaps w:val="0"/>
        <w:strike w:val="0"/>
        <w:dstrike w:val="0"/>
        <w:color w:val="000000"/>
        <w:sz w:val="22"/>
      </w:rPr>
    </w:lvl>
    <w:lvl w:ilvl="3">
      <w:start w:val="1"/>
      <w:numFmt w:val="upperLetter"/>
      <w:pStyle w:val="ACSchLv4"/>
      <w:lvlText w:val="(%4)"/>
      <w:lvlJc w:val="left"/>
      <w:pPr>
        <w:tabs>
          <w:tab w:val="left" w:pos="2880"/>
        </w:tabs>
        <w:ind w:left="2880" w:hanging="720"/>
      </w:pPr>
      <w:rPr>
        <w:b w:val="0"/>
        <w:i w:val="0"/>
        <w:caps w:val="0"/>
        <w:smallCaps w:val="0"/>
        <w:strike w:val="0"/>
        <w:dstrike w:val="0"/>
        <w:color w:val="000000"/>
        <w:sz w:val="22"/>
      </w:rPr>
    </w:lvl>
    <w:lvl w:ilvl="4">
      <w:start w:val="1"/>
      <w:numFmt w:val="upperRoman"/>
      <w:pStyle w:val="ACSchLv5"/>
      <w:lvlText w:val="(%5)"/>
      <w:lvlJc w:val="left"/>
      <w:pPr>
        <w:tabs>
          <w:tab w:val="left" w:pos="3600"/>
        </w:tabs>
        <w:ind w:left="3600" w:hanging="720"/>
      </w:pPr>
      <w:rPr>
        <w:b w:val="0"/>
        <w:i w:val="0"/>
        <w:caps w:val="0"/>
        <w:smallCaps w:val="0"/>
        <w:strike w:val="0"/>
        <w:dstrike w:val="0"/>
        <w:color w:val="000000"/>
        <w:sz w:val="22"/>
      </w:rPr>
    </w:lvl>
    <w:lvl w:ilvl="5">
      <w:start w:val="1"/>
      <w:numFmt w:val="none"/>
      <w:suff w:val="nothing"/>
      <w:lvlText w:val="Not Defined"/>
      <w:lvlJc w:val="left"/>
      <w:rPr>
        <w:b w:val="0"/>
        <w:i w:val="0"/>
        <w:caps w:val="0"/>
        <w:smallCaps w:val="0"/>
        <w:strike w:val="0"/>
        <w:dstrike w:val="0"/>
        <w:color w:val="000000"/>
      </w:rPr>
    </w:lvl>
    <w:lvl w:ilvl="6">
      <w:start w:val="1"/>
      <w:numFmt w:val="none"/>
      <w:suff w:val="nothing"/>
      <w:lvlText w:val="Not Defined"/>
      <w:lvlJc w:val="left"/>
      <w:rPr>
        <w:b w:val="0"/>
        <w:i w:val="0"/>
        <w:caps w:val="0"/>
        <w:smallCaps w:val="0"/>
        <w:strike w:val="0"/>
        <w:dstrike w:val="0"/>
        <w:color w:val="000000"/>
      </w:rPr>
    </w:lvl>
    <w:lvl w:ilvl="7">
      <w:start w:val="1"/>
      <w:numFmt w:val="none"/>
      <w:suff w:val="nothing"/>
      <w:lvlText w:val="Not Defined"/>
      <w:lvlJc w:val="left"/>
      <w:rPr>
        <w:b w:val="0"/>
        <w:i w:val="0"/>
        <w:caps w:val="0"/>
        <w:smallCaps w:val="0"/>
        <w:strike w:val="0"/>
        <w:dstrike w:val="0"/>
        <w:color w:val="000000"/>
      </w:rPr>
    </w:lvl>
    <w:lvl w:ilvl="8">
      <w:start w:val="1"/>
      <w:numFmt w:val="none"/>
      <w:suff w:val="nothing"/>
      <w:lvlText w:val="Not Defined"/>
      <w:lvlJc w:val="left"/>
      <w:rPr>
        <w:b w:val="0"/>
        <w:i w:val="0"/>
        <w:caps w:val="0"/>
        <w:smallCaps w:val="0"/>
        <w:strike w:val="0"/>
        <w:dstrike w:val="0"/>
        <w:color w:val="000000"/>
      </w:rPr>
    </w:lvl>
  </w:abstractNum>
  <w:abstractNum w:abstractNumId="5" w15:restartNumberingAfterBreak="0">
    <w:nsid w:val="3894411A"/>
    <w:multiLevelType w:val="hybridMultilevel"/>
    <w:tmpl w:val="8D36FD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A69005A"/>
    <w:multiLevelType w:val="hybridMultilevel"/>
    <w:tmpl w:val="F7841DDA"/>
    <w:lvl w:ilvl="0" w:tplc="FFFFFFFF">
      <w:start w:val="1"/>
      <w:numFmt w:val="lowerRoman"/>
      <w:lvlText w:val="(%1)"/>
      <w:lvlJc w:val="left"/>
      <w:pPr>
        <w:ind w:left="1080" w:hanging="7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CFE2655"/>
    <w:multiLevelType w:val="multilevel"/>
    <w:tmpl w:val="D9203C46"/>
    <w:lvl w:ilvl="0">
      <w:start w:val="1"/>
      <w:numFmt w:val="decimal"/>
      <w:pStyle w:val="NALevel1"/>
      <w:lvlText w:val="%1."/>
      <w:lvlJc w:val="left"/>
      <w:pPr>
        <w:tabs>
          <w:tab w:val="left" w:pos="567"/>
        </w:tabs>
        <w:ind w:left="567" w:hanging="567"/>
      </w:pPr>
    </w:lvl>
    <w:lvl w:ilvl="1">
      <w:start w:val="1"/>
      <w:numFmt w:val="lowerLetter"/>
      <w:pStyle w:val="NALevel2"/>
      <w:lvlText w:val="(%2)"/>
      <w:lvlJc w:val="left"/>
      <w:pPr>
        <w:tabs>
          <w:tab w:val="left" w:pos="1134"/>
        </w:tabs>
        <w:ind w:left="1134" w:hanging="567"/>
      </w:pPr>
    </w:lvl>
    <w:lvl w:ilvl="2">
      <w:start w:val="1"/>
      <w:numFmt w:val="lowerRoman"/>
      <w:pStyle w:val="NALevel3"/>
      <w:lvlText w:val="(%3)"/>
      <w:lvlJc w:val="left"/>
      <w:pPr>
        <w:tabs>
          <w:tab w:val="left" w:pos="1854"/>
        </w:tabs>
        <w:ind w:left="1701" w:hanging="567"/>
      </w:pPr>
    </w:lvl>
    <w:lvl w:ilvl="3">
      <w:start w:val="1"/>
      <w:numFmt w:val="upperLetter"/>
      <w:pStyle w:val="NALevel4"/>
      <w:lvlText w:val="%4."/>
      <w:lvlJc w:val="left"/>
      <w:pPr>
        <w:tabs>
          <w:tab w:val="left" w:pos="2268"/>
        </w:tabs>
        <w:ind w:left="2268" w:hanging="567"/>
      </w:pPr>
    </w:lvl>
    <w:lvl w:ilvl="4">
      <w:start w:val="1"/>
      <w:numFmt w:val="upperRoman"/>
      <w:pStyle w:val="NALevel5"/>
      <w:lvlText w:val="%5."/>
      <w:lvlJc w:val="left"/>
      <w:pPr>
        <w:tabs>
          <w:tab w:val="left" w:pos="2835"/>
        </w:tabs>
        <w:ind w:left="2835" w:hanging="567"/>
      </w:pPr>
    </w:lvl>
    <w:lvl w:ilvl="5">
      <w:start w:val="1"/>
      <w:numFmt w:val="decimal"/>
      <w:pStyle w:val="NALevel6"/>
      <w:lvlText w:val="(%6)"/>
      <w:lvlJc w:val="left"/>
      <w:pPr>
        <w:tabs>
          <w:tab w:val="left" w:pos="3402"/>
        </w:tabs>
        <w:ind w:left="3402" w:hanging="567"/>
      </w:pPr>
    </w:lvl>
    <w:lvl w:ilvl="6">
      <w:start w:val="1"/>
      <w:numFmt w:val="lowerLetter"/>
      <w:pStyle w:val="NALevel7"/>
      <w:lvlText w:val="%7"/>
      <w:lvlJc w:val="left"/>
      <w:pPr>
        <w:tabs>
          <w:tab w:val="left" w:pos="3969"/>
        </w:tabs>
        <w:ind w:left="3969" w:hanging="567"/>
      </w:pPr>
    </w:lvl>
    <w:lvl w:ilvl="7">
      <w:start w:val="1"/>
      <w:numFmt w:val="upperLetter"/>
      <w:pStyle w:val="NALevel8"/>
      <w:lvlText w:val="(%8)"/>
      <w:lvlJc w:val="left"/>
      <w:pPr>
        <w:tabs>
          <w:tab w:val="left" w:pos="4536"/>
        </w:tabs>
        <w:ind w:left="4536" w:hanging="567"/>
      </w:pPr>
    </w:lvl>
    <w:lvl w:ilvl="8">
      <w:start w:val="1"/>
      <w:numFmt w:val="bullet"/>
      <w:lvlText w:val=""/>
      <w:lvlJc w:val="left"/>
      <w:pPr>
        <w:tabs>
          <w:tab w:val="left" w:pos="3240"/>
        </w:tabs>
        <w:ind w:left="3240" w:hanging="360"/>
      </w:pPr>
      <w:rPr>
        <w:rFonts w:ascii="Symbol" w:hAnsi="Symbol"/>
      </w:rPr>
    </w:lvl>
  </w:abstractNum>
  <w:abstractNum w:abstractNumId="8" w15:restartNumberingAfterBreak="0">
    <w:nsid w:val="3E614A1B"/>
    <w:multiLevelType w:val="hybridMultilevel"/>
    <w:tmpl w:val="38801304"/>
    <w:lvl w:ilvl="0" w:tplc="CA549C6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C4107D"/>
    <w:multiLevelType w:val="multilevel"/>
    <w:tmpl w:val="13C020A2"/>
    <w:lvl w:ilvl="0">
      <w:start w:val="1"/>
      <w:numFmt w:val="decimal"/>
      <w:lvlText w:val="%1."/>
      <w:lvlJc w:val="left"/>
      <w:pPr>
        <w:tabs>
          <w:tab w:val="left" w:pos="720"/>
        </w:tabs>
        <w:ind w:left="720" w:hanging="720"/>
      </w:pPr>
      <w:rPr>
        <w:b w:val="0"/>
        <w:i w:val="0"/>
      </w:rPr>
    </w:lvl>
    <w:lvl w:ilvl="1">
      <w:start w:val="1"/>
      <w:numFmt w:val="decimal"/>
      <w:lvlText w:val="%1.%2"/>
      <w:lvlJc w:val="left"/>
      <w:pPr>
        <w:tabs>
          <w:tab w:val="left" w:pos="720"/>
        </w:tabs>
        <w:ind w:left="720" w:hanging="720"/>
      </w:pPr>
    </w:lvl>
    <w:lvl w:ilvl="2">
      <w:start w:val="1"/>
      <w:numFmt w:val="lowerLetter"/>
      <w:lvlText w:val="(%3)"/>
      <w:lvlJc w:val="left"/>
      <w:pPr>
        <w:tabs>
          <w:tab w:val="left" w:pos="1440"/>
        </w:tabs>
        <w:ind w:left="1440" w:hanging="720"/>
      </w:pPr>
    </w:lvl>
    <w:lvl w:ilvl="3">
      <w:start w:val="1"/>
      <w:numFmt w:val="lowerRoman"/>
      <w:pStyle w:val="MFSchLev4"/>
      <w:lvlText w:val="(%4)"/>
      <w:lvlJc w:val="left"/>
      <w:pPr>
        <w:tabs>
          <w:tab w:val="left" w:pos="2160"/>
        </w:tabs>
        <w:ind w:left="2160" w:hanging="720"/>
      </w:pPr>
    </w:lvl>
    <w:lvl w:ilvl="4">
      <w:start w:val="1"/>
      <w:numFmt w:val="upperLetter"/>
      <w:lvlText w:val="(%5)"/>
      <w:lvlJc w:val="left"/>
      <w:pPr>
        <w:tabs>
          <w:tab w:val="left" w:pos="2880"/>
        </w:tabs>
        <w:ind w:left="2880" w:hanging="720"/>
      </w:pPr>
    </w:lvl>
    <w:lvl w:ilvl="5">
      <w:start w:val="1"/>
      <w:numFmt w:val="decimal"/>
      <w:lvlText w:val="(%6)"/>
      <w:lvlJc w:val="left"/>
      <w:pPr>
        <w:tabs>
          <w:tab w:val="left" w:pos="3600"/>
        </w:tabs>
        <w:ind w:left="360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0" w15:restartNumberingAfterBreak="0">
    <w:nsid w:val="4ED0F6AE"/>
    <w:multiLevelType w:val="hybridMultilevel"/>
    <w:tmpl w:val="8FFDF0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746258"/>
    <w:multiLevelType w:val="multilevel"/>
    <w:tmpl w:val="D8A4B29C"/>
    <w:lvl w:ilvl="0">
      <w:start w:val="1"/>
      <w:numFmt w:val="bullet"/>
      <w:pStyle w:val="ACBulletLv1"/>
      <w:lvlText w:val=""/>
      <w:lvlJc w:val="left"/>
      <w:pPr>
        <w:tabs>
          <w:tab w:val="left" w:pos="720"/>
        </w:tabs>
        <w:ind w:left="720" w:hanging="720"/>
      </w:pPr>
      <w:rPr>
        <w:rFonts w:ascii="Symbol" w:hAnsi="Symbol"/>
        <w:b w:val="0"/>
        <w:i w:val="0"/>
        <w:caps w:val="0"/>
        <w:smallCaps w:val="0"/>
        <w:strike w:val="0"/>
        <w:dstrike w:val="0"/>
        <w:color w:val="000000"/>
        <w:sz w:val="22"/>
      </w:rPr>
    </w:lvl>
    <w:lvl w:ilvl="1">
      <w:start w:val="1"/>
      <w:numFmt w:val="bullet"/>
      <w:pStyle w:val="ACBulletLv2"/>
      <w:lvlText w:val=""/>
      <w:lvlJc w:val="left"/>
      <w:pPr>
        <w:tabs>
          <w:tab w:val="left" w:pos="1440"/>
        </w:tabs>
        <w:ind w:left="1440" w:hanging="720"/>
      </w:pPr>
      <w:rPr>
        <w:rFonts w:ascii="Symbol" w:hAnsi="Symbol"/>
        <w:b w:val="0"/>
        <w:i w:val="0"/>
        <w:caps w:val="0"/>
        <w:smallCaps w:val="0"/>
        <w:strike w:val="0"/>
        <w:dstrike w:val="0"/>
        <w:color w:val="000000"/>
        <w:sz w:val="22"/>
      </w:rPr>
    </w:lvl>
    <w:lvl w:ilvl="2">
      <w:start w:val="1"/>
      <w:numFmt w:val="bullet"/>
      <w:pStyle w:val="ACBulletLv3"/>
      <w:lvlText w:val=""/>
      <w:lvlJc w:val="left"/>
      <w:pPr>
        <w:tabs>
          <w:tab w:val="left" w:pos="2160"/>
        </w:tabs>
        <w:ind w:left="2160" w:hanging="720"/>
      </w:pPr>
      <w:rPr>
        <w:rFonts w:ascii="Symbol" w:hAnsi="Symbol"/>
        <w:b w:val="0"/>
        <w:i w:val="0"/>
        <w:caps w:val="0"/>
        <w:smallCaps w:val="0"/>
        <w:strike w:val="0"/>
        <w:dstrike w:val="0"/>
        <w:color w:val="000000"/>
        <w:sz w:val="22"/>
      </w:rPr>
    </w:lvl>
    <w:lvl w:ilvl="3">
      <w:start w:val="1"/>
      <w:numFmt w:val="bullet"/>
      <w:pStyle w:val="ACBulletLv4"/>
      <w:lvlText w:val=""/>
      <w:lvlJc w:val="left"/>
      <w:pPr>
        <w:tabs>
          <w:tab w:val="left" w:pos="2880"/>
        </w:tabs>
        <w:ind w:left="2880" w:hanging="720"/>
      </w:pPr>
      <w:rPr>
        <w:rFonts w:ascii="Symbol" w:hAnsi="Symbol"/>
        <w:b w:val="0"/>
        <w:i w:val="0"/>
        <w:caps w:val="0"/>
        <w:smallCaps w:val="0"/>
        <w:strike w:val="0"/>
        <w:dstrike w:val="0"/>
        <w:color w:val="000000"/>
        <w:sz w:val="22"/>
      </w:rPr>
    </w:lvl>
    <w:lvl w:ilvl="4">
      <w:start w:val="1"/>
      <w:numFmt w:val="bullet"/>
      <w:pStyle w:val="ACBulletLv5"/>
      <w:lvlText w:val=""/>
      <w:lvlJc w:val="left"/>
      <w:pPr>
        <w:tabs>
          <w:tab w:val="left" w:pos="3600"/>
        </w:tabs>
        <w:ind w:left="3600" w:hanging="720"/>
      </w:pPr>
      <w:rPr>
        <w:rFonts w:ascii="Symbol" w:hAnsi="Symbol"/>
        <w:b w:val="0"/>
        <w:i w:val="0"/>
        <w:caps w:val="0"/>
        <w:smallCaps w:val="0"/>
        <w:strike w:val="0"/>
        <w:dstrike w:val="0"/>
        <w:color w:val="000000"/>
        <w:sz w:val="22"/>
      </w:rPr>
    </w:lvl>
    <w:lvl w:ilvl="5">
      <w:start w:val="1"/>
      <w:numFmt w:val="none"/>
      <w:suff w:val="nothing"/>
      <w:lvlText w:val="Not Defined"/>
      <w:lvlJc w:val="left"/>
      <w:rPr>
        <w:b w:val="0"/>
        <w:i w:val="0"/>
        <w:caps w:val="0"/>
        <w:smallCaps w:val="0"/>
        <w:strike w:val="0"/>
        <w:dstrike w:val="0"/>
        <w:color w:val="000000"/>
      </w:rPr>
    </w:lvl>
    <w:lvl w:ilvl="6">
      <w:start w:val="1"/>
      <w:numFmt w:val="none"/>
      <w:suff w:val="nothing"/>
      <w:lvlText w:val="Not Defined"/>
      <w:lvlJc w:val="left"/>
      <w:rPr>
        <w:b w:val="0"/>
        <w:i w:val="0"/>
        <w:caps w:val="0"/>
        <w:smallCaps w:val="0"/>
        <w:strike w:val="0"/>
        <w:dstrike w:val="0"/>
        <w:color w:val="000000"/>
      </w:rPr>
    </w:lvl>
    <w:lvl w:ilvl="7">
      <w:start w:val="1"/>
      <w:numFmt w:val="none"/>
      <w:suff w:val="nothing"/>
      <w:lvlText w:val="Not Defined"/>
      <w:lvlJc w:val="left"/>
      <w:rPr>
        <w:b w:val="0"/>
        <w:i w:val="0"/>
        <w:caps w:val="0"/>
        <w:smallCaps w:val="0"/>
        <w:strike w:val="0"/>
        <w:dstrike w:val="0"/>
        <w:color w:val="000000"/>
      </w:rPr>
    </w:lvl>
    <w:lvl w:ilvl="8">
      <w:start w:val="1"/>
      <w:numFmt w:val="none"/>
      <w:suff w:val="nothing"/>
      <w:lvlText w:val="Not Defined"/>
      <w:lvlJc w:val="left"/>
      <w:rPr>
        <w:b w:val="0"/>
        <w:i w:val="0"/>
        <w:caps w:val="0"/>
        <w:smallCaps w:val="0"/>
        <w:strike w:val="0"/>
        <w:dstrike w:val="0"/>
        <w:color w:val="000000"/>
      </w:rPr>
    </w:lvl>
  </w:abstractNum>
  <w:abstractNum w:abstractNumId="12"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1E35325"/>
    <w:multiLevelType w:val="hybridMultilevel"/>
    <w:tmpl w:val="8D36FD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79817060">
    <w:abstractNumId w:val="9"/>
  </w:num>
  <w:num w:numId="2" w16cid:durableId="1015234697">
    <w:abstractNumId w:val="1"/>
  </w:num>
  <w:num w:numId="3" w16cid:durableId="910431081">
    <w:abstractNumId w:val="11"/>
  </w:num>
  <w:num w:numId="4" w16cid:durableId="1478566943">
    <w:abstractNumId w:val="7"/>
  </w:num>
  <w:num w:numId="5" w16cid:durableId="192039712">
    <w:abstractNumId w:val="4"/>
  </w:num>
  <w:num w:numId="6" w16cid:durableId="1355814092">
    <w:abstractNumId w:val="5"/>
  </w:num>
  <w:num w:numId="7" w16cid:durableId="84229677">
    <w:abstractNumId w:val="3"/>
  </w:num>
  <w:num w:numId="8" w16cid:durableId="333264749">
    <w:abstractNumId w:val="13"/>
  </w:num>
  <w:num w:numId="9" w16cid:durableId="2113282260">
    <w:abstractNumId w:val="3"/>
    <w:lvlOverride w:ilvl="0">
      <w:lvl w:ilvl="0" w:tplc="FFFFFFFF">
        <w:start w:val="1"/>
        <w:numFmt w:val="lowerLetter"/>
        <w:lvlText w:val="%1."/>
        <w:lvlJc w:val="left"/>
        <w:pPr>
          <w:ind w:left="720" w:hanging="360"/>
        </w:pPr>
      </w:lvl>
    </w:lvlOverride>
    <w:lvlOverride w:ilvl="1">
      <w:lvl w:ilvl="1" w:tplc="FFFFFFFF">
        <w:start w:val="1"/>
        <w:numFmt w:val="lowerLetter"/>
        <w:lvlText w:val="%2."/>
        <w:lvlJc w:val="left"/>
        <w:pPr>
          <w:ind w:left="1440" w:hanging="360"/>
        </w:pPr>
        <w:rPr>
          <w:color w:val="auto"/>
        </w:rPr>
      </w:lvl>
    </w:lvlOverride>
    <w:lvlOverride w:ilvl="2">
      <w:lvl w:ilvl="2" w:tplc="FFFFFFFF">
        <w:start w:val="1"/>
        <w:numFmt w:val="lowerRoman"/>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10" w16cid:durableId="408307408">
    <w:abstractNumId w:val="6"/>
    <w:lvlOverride w:ilvl="0">
      <w:lvl w:ilvl="0" w:tplc="FFFFFFFF">
        <w:start w:val="1"/>
        <w:numFmt w:val="lowerRoman"/>
        <w:lvlText w:val="(%1)"/>
        <w:lvlJc w:val="left"/>
        <w:pPr>
          <w:ind w:left="1080" w:hanging="720"/>
        </w:pPr>
        <w:rPr>
          <w:color w:val="auto"/>
        </w:rPr>
      </w:lvl>
    </w:lvlOverride>
    <w:lvlOverride w:ilvl="1">
      <w:lvl w:ilvl="1" w:tplc="FFFFFFFF">
        <w:start w:val="1"/>
        <w:numFmt w:val="lowerLetter"/>
        <w:lvlText w:val="%2."/>
        <w:lvlJc w:val="left"/>
        <w:pPr>
          <w:ind w:left="1440" w:hanging="360"/>
        </w:pPr>
      </w:lvl>
    </w:lvlOverride>
    <w:lvlOverride w:ilvl="2">
      <w:lvl w:ilvl="2" w:tplc="FFFFFFFF">
        <w:start w:val="1"/>
        <w:numFmt w:val="lowerRoman"/>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11" w16cid:durableId="1512261620">
    <w:abstractNumId w:val="4"/>
  </w:num>
  <w:num w:numId="12" w16cid:durableId="1937522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6330683">
    <w:abstractNumId w:val="12"/>
  </w:num>
  <w:num w:numId="14" w16cid:durableId="34546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720"/>
  <w:displayHorizontalDrawingGridEvery w:val="0"/>
  <w:displayVerticalDrawingGridEvery w:val="3"/>
  <w:doNotUseMarginsForDrawingGridOrigin/>
  <w:drawingGridHorizontalOrigin w:val="1800"/>
  <w:drawingGridVertic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_REDLINE" w:val="CP_REDLINE"/>
    <w:docVar w:name="tableMoveFromStyle" w:val="s"/>
    <w:docVar w:name="tableMoveToStyle" w:val="u"/>
    <w:docVar w:name="textDeleteStyle" w:val="s"/>
    <w:docVar w:name="textInsertStyle" w:val="d"/>
    <w:docVar w:name="textMoveFromStyle" w:val="s"/>
    <w:docVar w:name="textMoveToStyle" w:val="u"/>
  </w:docVars>
  <w:rsids>
    <w:rsidRoot w:val="00BD3845"/>
    <w:rsid w:val="000055DC"/>
    <w:rsid w:val="00007EB7"/>
    <w:rsid w:val="000138E0"/>
    <w:rsid w:val="0001519B"/>
    <w:rsid w:val="00016502"/>
    <w:rsid w:val="00020956"/>
    <w:rsid w:val="00020C2F"/>
    <w:rsid w:val="000215EF"/>
    <w:rsid w:val="00022E28"/>
    <w:rsid w:val="00022EF5"/>
    <w:rsid w:val="00032705"/>
    <w:rsid w:val="00032A60"/>
    <w:rsid w:val="000360AE"/>
    <w:rsid w:val="0004576B"/>
    <w:rsid w:val="0006559B"/>
    <w:rsid w:val="00075CA1"/>
    <w:rsid w:val="0008373B"/>
    <w:rsid w:val="000850E0"/>
    <w:rsid w:val="00091859"/>
    <w:rsid w:val="00092BD6"/>
    <w:rsid w:val="00096A86"/>
    <w:rsid w:val="000A671A"/>
    <w:rsid w:val="000B1DFB"/>
    <w:rsid w:val="000C258E"/>
    <w:rsid w:val="000C2DA2"/>
    <w:rsid w:val="000C3634"/>
    <w:rsid w:val="000C5678"/>
    <w:rsid w:val="000C7822"/>
    <w:rsid w:val="000D459E"/>
    <w:rsid w:val="000E0515"/>
    <w:rsid w:val="000F00B0"/>
    <w:rsid w:val="000F155A"/>
    <w:rsid w:val="00105268"/>
    <w:rsid w:val="00106402"/>
    <w:rsid w:val="001107AE"/>
    <w:rsid w:val="001169B9"/>
    <w:rsid w:val="00124690"/>
    <w:rsid w:val="00133301"/>
    <w:rsid w:val="00136314"/>
    <w:rsid w:val="001430E9"/>
    <w:rsid w:val="001514EF"/>
    <w:rsid w:val="00164F58"/>
    <w:rsid w:val="00165BD4"/>
    <w:rsid w:val="0017277B"/>
    <w:rsid w:val="0017690E"/>
    <w:rsid w:val="00187006"/>
    <w:rsid w:val="001B0ECC"/>
    <w:rsid w:val="001B33E4"/>
    <w:rsid w:val="001B647D"/>
    <w:rsid w:val="001E285B"/>
    <w:rsid w:val="001E7588"/>
    <w:rsid w:val="001F1204"/>
    <w:rsid w:val="001F4500"/>
    <w:rsid w:val="001F7FD1"/>
    <w:rsid w:val="002070BE"/>
    <w:rsid w:val="00211778"/>
    <w:rsid w:val="00217D42"/>
    <w:rsid w:val="00224AF5"/>
    <w:rsid w:val="002330E4"/>
    <w:rsid w:val="00235B8B"/>
    <w:rsid w:val="002419D2"/>
    <w:rsid w:val="00246FB0"/>
    <w:rsid w:val="002552B4"/>
    <w:rsid w:val="002837DB"/>
    <w:rsid w:val="00286176"/>
    <w:rsid w:val="00297AA4"/>
    <w:rsid w:val="002A5790"/>
    <w:rsid w:val="002A7F37"/>
    <w:rsid w:val="002B4BEE"/>
    <w:rsid w:val="002B60AE"/>
    <w:rsid w:val="002C3FAF"/>
    <w:rsid w:val="002C40D4"/>
    <w:rsid w:val="002C4815"/>
    <w:rsid w:val="002D3549"/>
    <w:rsid w:val="002D35FE"/>
    <w:rsid w:val="002D5B6A"/>
    <w:rsid w:val="002D7589"/>
    <w:rsid w:val="002E3F57"/>
    <w:rsid w:val="002F27EE"/>
    <w:rsid w:val="002F34A4"/>
    <w:rsid w:val="00301C40"/>
    <w:rsid w:val="00304210"/>
    <w:rsid w:val="00313DC1"/>
    <w:rsid w:val="00316F28"/>
    <w:rsid w:val="00330283"/>
    <w:rsid w:val="00340C59"/>
    <w:rsid w:val="0035241A"/>
    <w:rsid w:val="00353A9E"/>
    <w:rsid w:val="00381FC6"/>
    <w:rsid w:val="003856F4"/>
    <w:rsid w:val="00385968"/>
    <w:rsid w:val="0039063C"/>
    <w:rsid w:val="003A5D62"/>
    <w:rsid w:val="003B2F8B"/>
    <w:rsid w:val="003C0F16"/>
    <w:rsid w:val="003C4E78"/>
    <w:rsid w:val="003D6133"/>
    <w:rsid w:val="003F27D8"/>
    <w:rsid w:val="003F4101"/>
    <w:rsid w:val="003F6C9E"/>
    <w:rsid w:val="00406E89"/>
    <w:rsid w:val="00411C2A"/>
    <w:rsid w:val="004130FC"/>
    <w:rsid w:val="0043436E"/>
    <w:rsid w:val="0044148C"/>
    <w:rsid w:val="00477102"/>
    <w:rsid w:val="00484F9E"/>
    <w:rsid w:val="004855FC"/>
    <w:rsid w:val="004C7EC4"/>
    <w:rsid w:val="004D1061"/>
    <w:rsid w:val="004D30E5"/>
    <w:rsid w:val="004F1AF8"/>
    <w:rsid w:val="004F3C3A"/>
    <w:rsid w:val="004F451C"/>
    <w:rsid w:val="00507223"/>
    <w:rsid w:val="0051509F"/>
    <w:rsid w:val="00516D31"/>
    <w:rsid w:val="00520AF2"/>
    <w:rsid w:val="005248BE"/>
    <w:rsid w:val="00526251"/>
    <w:rsid w:val="00536426"/>
    <w:rsid w:val="00540C5F"/>
    <w:rsid w:val="005445AE"/>
    <w:rsid w:val="0054519A"/>
    <w:rsid w:val="0054625E"/>
    <w:rsid w:val="005473BC"/>
    <w:rsid w:val="00561AE4"/>
    <w:rsid w:val="005721B1"/>
    <w:rsid w:val="00577D6E"/>
    <w:rsid w:val="00586BE8"/>
    <w:rsid w:val="00593CB4"/>
    <w:rsid w:val="005B2B24"/>
    <w:rsid w:val="005D520A"/>
    <w:rsid w:val="005E2D4E"/>
    <w:rsid w:val="005E46C7"/>
    <w:rsid w:val="005E79AC"/>
    <w:rsid w:val="005F001D"/>
    <w:rsid w:val="005F0DA8"/>
    <w:rsid w:val="00612E05"/>
    <w:rsid w:val="00613C43"/>
    <w:rsid w:val="00613FC2"/>
    <w:rsid w:val="00614691"/>
    <w:rsid w:val="00645361"/>
    <w:rsid w:val="00645D2E"/>
    <w:rsid w:val="0067222E"/>
    <w:rsid w:val="00672DED"/>
    <w:rsid w:val="0067426F"/>
    <w:rsid w:val="0067588A"/>
    <w:rsid w:val="00677593"/>
    <w:rsid w:val="00681B1F"/>
    <w:rsid w:val="00682024"/>
    <w:rsid w:val="00682290"/>
    <w:rsid w:val="006829F6"/>
    <w:rsid w:val="00685E77"/>
    <w:rsid w:val="006A546F"/>
    <w:rsid w:val="006A6688"/>
    <w:rsid w:val="006A79EC"/>
    <w:rsid w:val="006B3A08"/>
    <w:rsid w:val="006D56FF"/>
    <w:rsid w:val="006D7050"/>
    <w:rsid w:val="006F0208"/>
    <w:rsid w:val="006F0956"/>
    <w:rsid w:val="006F1420"/>
    <w:rsid w:val="007026AE"/>
    <w:rsid w:val="0070374F"/>
    <w:rsid w:val="00712EB0"/>
    <w:rsid w:val="007208CE"/>
    <w:rsid w:val="007246C9"/>
    <w:rsid w:val="0072711F"/>
    <w:rsid w:val="007327EF"/>
    <w:rsid w:val="00733128"/>
    <w:rsid w:val="0073583B"/>
    <w:rsid w:val="00740281"/>
    <w:rsid w:val="007445FE"/>
    <w:rsid w:val="007450CC"/>
    <w:rsid w:val="0075088D"/>
    <w:rsid w:val="00754064"/>
    <w:rsid w:val="0077356F"/>
    <w:rsid w:val="00775F3C"/>
    <w:rsid w:val="007818D3"/>
    <w:rsid w:val="00781DA9"/>
    <w:rsid w:val="007847CD"/>
    <w:rsid w:val="007B024F"/>
    <w:rsid w:val="007C313C"/>
    <w:rsid w:val="007E16FD"/>
    <w:rsid w:val="00803295"/>
    <w:rsid w:val="008075C9"/>
    <w:rsid w:val="00807BA9"/>
    <w:rsid w:val="00813996"/>
    <w:rsid w:val="00820DDA"/>
    <w:rsid w:val="00820F8B"/>
    <w:rsid w:val="0082226C"/>
    <w:rsid w:val="00836279"/>
    <w:rsid w:val="0084064E"/>
    <w:rsid w:val="0084228E"/>
    <w:rsid w:val="00846948"/>
    <w:rsid w:val="00847269"/>
    <w:rsid w:val="008543B0"/>
    <w:rsid w:val="008570AC"/>
    <w:rsid w:val="0086395D"/>
    <w:rsid w:val="008733AB"/>
    <w:rsid w:val="00874D73"/>
    <w:rsid w:val="00886D53"/>
    <w:rsid w:val="00896AA6"/>
    <w:rsid w:val="008A30A8"/>
    <w:rsid w:val="008A7AA8"/>
    <w:rsid w:val="008B47B7"/>
    <w:rsid w:val="008B4F70"/>
    <w:rsid w:val="008B615A"/>
    <w:rsid w:val="008C2189"/>
    <w:rsid w:val="008D0CF1"/>
    <w:rsid w:val="008E144A"/>
    <w:rsid w:val="008E7432"/>
    <w:rsid w:val="008F261F"/>
    <w:rsid w:val="008F538F"/>
    <w:rsid w:val="009429CB"/>
    <w:rsid w:val="00943FC0"/>
    <w:rsid w:val="00961B71"/>
    <w:rsid w:val="00962C0B"/>
    <w:rsid w:val="00984E09"/>
    <w:rsid w:val="00995619"/>
    <w:rsid w:val="00996F39"/>
    <w:rsid w:val="009A3977"/>
    <w:rsid w:val="009A6D03"/>
    <w:rsid w:val="009B1EA5"/>
    <w:rsid w:val="009B6907"/>
    <w:rsid w:val="009C5D70"/>
    <w:rsid w:val="009D284A"/>
    <w:rsid w:val="009D4F14"/>
    <w:rsid w:val="009E572A"/>
    <w:rsid w:val="009E65A1"/>
    <w:rsid w:val="009F488A"/>
    <w:rsid w:val="00A001F4"/>
    <w:rsid w:val="00A01AC3"/>
    <w:rsid w:val="00A050D6"/>
    <w:rsid w:val="00A07272"/>
    <w:rsid w:val="00A10BB0"/>
    <w:rsid w:val="00A26318"/>
    <w:rsid w:val="00A33E65"/>
    <w:rsid w:val="00A35262"/>
    <w:rsid w:val="00A357A4"/>
    <w:rsid w:val="00A56E21"/>
    <w:rsid w:val="00A65EE0"/>
    <w:rsid w:val="00A66E94"/>
    <w:rsid w:val="00A67E7C"/>
    <w:rsid w:val="00A77290"/>
    <w:rsid w:val="00A82DA4"/>
    <w:rsid w:val="00A90E87"/>
    <w:rsid w:val="00A93956"/>
    <w:rsid w:val="00AB0CA2"/>
    <w:rsid w:val="00AB4ACA"/>
    <w:rsid w:val="00AB5A79"/>
    <w:rsid w:val="00AE6B78"/>
    <w:rsid w:val="00B059D5"/>
    <w:rsid w:val="00B11CF4"/>
    <w:rsid w:val="00B166D1"/>
    <w:rsid w:val="00B16BD4"/>
    <w:rsid w:val="00B24DB4"/>
    <w:rsid w:val="00B26548"/>
    <w:rsid w:val="00B3178A"/>
    <w:rsid w:val="00B335DD"/>
    <w:rsid w:val="00B34673"/>
    <w:rsid w:val="00B358B5"/>
    <w:rsid w:val="00B50DA5"/>
    <w:rsid w:val="00B72883"/>
    <w:rsid w:val="00B841EA"/>
    <w:rsid w:val="00B922B7"/>
    <w:rsid w:val="00BA45CA"/>
    <w:rsid w:val="00BB0372"/>
    <w:rsid w:val="00BB6676"/>
    <w:rsid w:val="00BD26F1"/>
    <w:rsid w:val="00BD3845"/>
    <w:rsid w:val="00BE2209"/>
    <w:rsid w:val="00BE5D76"/>
    <w:rsid w:val="00BF7ACB"/>
    <w:rsid w:val="00C07F82"/>
    <w:rsid w:val="00C1667A"/>
    <w:rsid w:val="00C16FAE"/>
    <w:rsid w:val="00C200A1"/>
    <w:rsid w:val="00C247E7"/>
    <w:rsid w:val="00C3244E"/>
    <w:rsid w:val="00C34C34"/>
    <w:rsid w:val="00C35F69"/>
    <w:rsid w:val="00C36263"/>
    <w:rsid w:val="00C378BA"/>
    <w:rsid w:val="00C44BC7"/>
    <w:rsid w:val="00C46E34"/>
    <w:rsid w:val="00C534A4"/>
    <w:rsid w:val="00C6031C"/>
    <w:rsid w:val="00C63E5F"/>
    <w:rsid w:val="00C644EC"/>
    <w:rsid w:val="00C6598C"/>
    <w:rsid w:val="00C704CC"/>
    <w:rsid w:val="00C81FBB"/>
    <w:rsid w:val="00C84240"/>
    <w:rsid w:val="00C9605C"/>
    <w:rsid w:val="00CA0F66"/>
    <w:rsid w:val="00CA1E93"/>
    <w:rsid w:val="00CA30F4"/>
    <w:rsid w:val="00CA60A1"/>
    <w:rsid w:val="00CA7A87"/>
    <w:rsid w:val="00CB53F8"/>
    <w:rsid w:val="00CC1005"/>
    <w:rsid w:val="00CC2EB3"/>
    <w:rsid w:val="00CC3A97"/>
    <w:rsid w:val="00CC40FF"/>
    <w:rsid w:val="00CC461B"/>
    <w:rsid w:val="00CC6301"/>
    <w:rsid w:val="00CD241F"/>
    <w:rsid w:val="00CD35A0"/>
    <w:rsid w:val="00CD61B9"/>
    <w:rsid w:val="00D115B5"/>
    <w:rsid w:val="00D115E1"/>
    <w:rsid w:val="00D3360D"/>
    <w:rsid w:val="00D40859"/>
    <w:rsid w:val="00D42B3F"/>
    <w:rsid w:val="00D47069"/>
    <w:rsid w:val="00D55147"/>
    <w:rsid w:val="00D7112F"/>
    <w:rsid w:val="00D71443"/>
    <w:rsid w:val="00D71DD3"/>
    <w:rsid w:val="00D76B8C"/>
    <w:rsid w:val="00D80106"/>
    <w:rsid w:val="00D81E64"/>
    <w:rsid w:val="00D8282C"/>
    <w:rsid w:val="00D85154"/>
    <w:rsid w:val="00D87536"/>
    <w:rsid w:val="00D91269"/>
    <w:rsid w:val="00DA5C50"/>
    <w:rsid w:val="00DB12C0"/>
    <w:rsid w:val="00DB3766"/>
    <w:rsid w:val="00DB689E"/>
    <w:rsid w:val="00DC62CA"/>
    <w:rsid w:val="00DD2E31"/>
    <w:rsid w:val="00DE5B2A"/>
    <w:rsid w:val="00E06EEB"/>
    <w:rsid w:val="00E2200E"/>
    <w:rsid w:val="00E30E23"/>
    <w:rsid w:val="00E40DC3"/>
    <w:rsid w:val="00E44C7C"/>
    <w:rsid w:val="00E51B78"/>
    <w:rsid w:val="00E555B8"/>
    <w:rsid w:val="00E6559B"/>
    <w:rsid w:val="00E7183F"/>
    <w:rsid w:val="00E83023"/>
    <w:rsid w:val="00E84508"/>
    <w:rsid w:val="00E97685"/>
    <w:rsid w:val="00EA04B3"/>
    <w:rsid w:val="00EA7CCC"/>
    <w:rsid w:val="00EB1971"/>
    <w:rsid w:val="00EB2E2C"/>
    <w:rsid w:val="00EC1D39"/>
    <w:rsid w:val="00EE5318"/>
    <w:rsid w:val="00EF4117"/>
    <w:rsid w:val="00EF5894"/>
    <w:rsid w:val="00F003CB"/>
    <w:rsid w:val="00F148F1"/>
    <w:rsid w:val="00F2188E"/>
    <w:rsid w:val="00F2511B"/>
    <w:rsid w:val="00F30632"/>
    <w:rsid w:val="00F31E88"/>
    <w:rsid w:val="00F331DA"/>
    <w:rsid w:val="00F4254D"/>
    <w:rsid w:val="00F43BE4"/>
    <w:rsid w:val="00F56E01"/>
    <w:rsid w:val="00F62273"/>
    <w:rsid w:val="00F67CB6"/>
    <w:rsid w:val="00F70BAA"/>
    <w:rsid w:val="00F8394E"/>
    <w:rsid w:val="00F839DC"/>
    <w:rsid w:val="00F96119"/>
    <w:rsid w:val="00FA22E3"/>
    <w:rsid w:val="00FA2EFA"/>
    <w:rsid w:val="00FA3B15"/>
    <w:rsid w:val="00FB614B"/>
    <w:rsid w:val="00FB7DA7"/>
    <w:rsid w:val="00FC74BD"/>
    <w:rsid w:val="00FE5165"/>
    <w:rsid w:val="00FF0228"/>
    <w:rsid w:val="00FF2AEE"/>
    <w:rsid w:val="00FF31A5"/>
    <w:rsid w:val="00FF4E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B50C1C"/>
  <w14:defaultImageDpi w14:val="96"/>
  <w15:docId w15:val="{BCBEB5E1-E9B5-4E0B-9D95-06311C49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EE"/>
    <w:pPr>
      <w:adjustRightInd w:val="0"/>
    </w:pPr>
    <w:rPr>
      <w:rFonts w:ascii="Times New Roman" w:hAnsi="Times New Roman" w:cs="Times New Roman"/>
      <w:sz w:val="24"/>
      <w:szCs w:val="24"/>
      <w:lang w:val="en-GB" w:eastAsia="en-US"/>
    </w:rPr>
  </w:style>
  <w:style w:type="paragraph" w:styleId="Heading1">
    <w:name w:val="heading 1"/>
    <w:basedOn w:val="Normal"/>
    <w:next w:val="Normal"/>
    <w:link w:val="Heading1Char"/>
    <w:uiPriority w:val="9"/>
    <w:qFormat/>
    <w:pPr>
      <w:keepNext/>
      <w:keepLines/>
      <w:spacing w:before="240"/>
      <w:outlineLvl w:val="0"/>
    </w:pPr>
    <w:rPr>
      <w:rFonts w:ascii="Cambria" w:hAnsi="Cambria" w:cs="Cambria"/>
      <w:color w:val="365F91"/>
      <w:sz w:val="32"/>
      <w:szCs w:val="32"/>
    </w:rPr>
  </w:style>
  <w:style w:type="paragraph" w:styleId="Heading4">
    <w:name w:val="heading 4"/>
    <w:basedOn w:val="Normal"/>
    <w:next w:val="Normal"/>
    <w:link w:val="Heading4Char"/>
    <w:uiPriority w:val="9"/>
    <w:qFormat/>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
    <w:qFormat/>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
    <w:qFormat/>
    <w:pPr>
      <w:keepNext/>
      <w:overflowPunct w:val="0"/>
      <w:autoSpaceDE w:val="0"/>
      <w:autoSpaceDN w:val="0"/>
      <w:jc w:val="both"/>
      <w:outlineLvl w:val="5"/>
    </w:pPr>
    <w:rPr>
      <w:b/>
      <w:bCs/>
      <w:sz w:val="20"/>
      <w:szCs w:val="20"/>
    </w:rPr>
  </w:style>
  <w:style w:type="paragraph" w:styleId="Heading7">
    <w:name w:val="heading 7"/>
    <w:basedOn w:val="Normal"/>
    <w:next w:val="Normal"/>
    <w:link w:val="Heading7Char"/>
    <w:uiPriority w:val="9"/>
    <w:qFormat/>
    <w:pPr>
      <w:keepNext/>
      <w:overflowPunct w:val="0"/>
      <w:autoSpaceDE w:val="0"/>
      <w:autoSpaceDN w:val="0"/>
      <w:jc w:val="both"/>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Level8">
    <w:name w:val="NA Level 8"/>
    <w:basedOn w:val="Normal"/>
    <w:next w:val="Normal"/>
    <w:pPr>
      <w:numPr>
        <w:ilvl w:val="7"/>
        <w:numId w:val="4"/>
      </w:numPr>
      <w:jc w:val="both"/>
    </w:pPr>
  </w:style>
  <w:style w:type="character" w:customStyle="1" w:styleId="BodyTextIndentChar">
    <w:name w:val="Body Text Indent Char"/>
    <w:basedOn w:val="DefaultParagraphFont"/>
    <w:link w:val="BodyTextIndent"/>
    <w:uiPriority w:val="99"/>
    <w:rPr>
      <w:sz w:val="20"/>
      <w:szCs w:val="20"/>
    </w:rPr>
  </w:style>
  <w:style w:type="paragraph" w:customStyle="1" w:styleId="MFNumLev3">
    <w:name w:val="MFNumLev3"/>
    <w:basedOn w:val="MFNumLev2"/>
    <w:link w:val="MFNumLev3Char"/>
    <w:pPr>
      <w:tabs>
        <w:tab w:val="clear" w:pos="720"/>
        <w:tab w:val="left" w:pos="1440"/>
      </w:tabs>
      <w:ind w:left="1440"/>
      <w:outlineLvl w:val="2"/>
    </w:pPr>
  </w:style>
  <w:style w:type="paragraph" w:customStyle="1" w:styleId="MFNumLev6">
    <w:name w:val="MFNumLev6"/>
    <w:basedOn w:val="MFNumLev2"/>
    <w:pPr>
      <w:tabs>
        <w:tab w:val="clear" w:pos="720"/>
        <w:tab w:val="left" w:pos="3600"/>
      </w:tabs>
      <w:ind w:left="3600"/>
      <w:outlineLvl w:val="5"/>
    </w:pPr>
  </w:style>
  <w:style w:type="character" w:customStyle="1" w:styleId="BodycopyChar">
    <w:name w:val="Body copy Char"/>
    <w:link w:val="Bodycopy"/>
    <w:rPr>
      <w:rFonts w:ascii="Arial" w:hAnsi="Arial" w:cs="Arial"/>
      <w:color w:val="000000"/>
      <w:sz w:val="20"/>
      <w:szCs w:val="20"/>
    </w:rPr>
  </w:style>
  <w:style w:type="character" w:customStyle="1" w:styleId="BodyTextChar">
    <w:name w:val="Body Text Char"/>
    <w:basedOn w:val="DefaultParagraphFont"/>
    <w:link w:val="BodyText"/>
    <w:uiPriority w:val="99"/>
  </w:style>
  <w:style w:type="character" w:customStyle="1" w:styleId="Heading6Char">
    <w:name w:val="Heading 6 Char"/>
    <w:basedOn w:val="DefaultParagraphFont"/>
    <w:link w:val="Heading6"/>
    <w:uiPriority w:val="9"/>
    <w:rPr>
      <w:b/>
      <w:bCs/>
      <w:sz w:val="20"/>
      <w:szCs w:val="20"/>
    </w:rPr>
  </w:style>
  <w:style w:type="paragraph" w:customStyle="1" w:styleId="NALevel7">
    <w:name w:val="NA Level 7"/>
    <w:basedOn w:val="Normal"/>
    <w:next w:val="Normal"/>
    <w:pPr>
      <w:numPr>
        <w:ilvl w:val="6"/>
        <w:numId w:val="4"/>
      </w:numPr>
      <w:jc w:val="both"/>
    </w:pPr>
  </w:style>
  <w:style w:type="character" w:styleId="Hyperlink">
    <w:name w:val="Hyperlink"/>
    <w:basedOn w:val="DefaultParagraphFont"/>
    <w:uiPriority w:val="99"/>
    <w:rPr>
      <w:color w:val="0000FF"/>
      <w:u w:val="single"/>
    </w:rPr>
  </w:style>
  <w:style w:type="character" w:customStyle="1" w:styleId="MFNumLev4Char">
    <w:name w:val="MFNumLev4 Char"/>
    <w:link w:val="MFNumLev4"/>
    <w:rPr>
      <w:rFonts w:ascii="Book Antiqua" w:hAnsi="Book Antiqua" w:cs="Book Antiqua"/>
      <w:sz w:val="20"/>
      <w:szCs w:val="20"/>
    </w:rPr>
  </w:style>
  <w:style w:type="paragraph" w:customStyle="1" w:styleId="MFNumLev4">
    <w:name w:val="MFNumLev4"/>
    <w:basedOn w:val="Normal"/>
    <w:link w:val="MFNumLev4Char"/>
    <w:pPr>
      <w:numPr>
        <w:ilvl w:val="3"/>
        <w:numId w:val="2"/>
      </w:numPr>
      <w:spacing w:after="240"/>
      <w:jc w:val="both"/>
      <w:outlineLvl w:val="3"/>
    </w:pPr>
    <w:rPr>
      <w:rFonts w:ascii="Book Antiqua" w:hAnsi="Book Antiqua" w:cs="Book Antiqua"/>
      <w:sz w:val="20"/>
      <w:szCs w:val="20"/>
      <w:lang w:val="en-IE"/>
    </w:rPr>
  </w:style>
  <w:style w:type="paragraph" w:styleId="FootnoteText">
    <w:name w:val="footnote text"/>
    <w:basedOn w:val="Normal"/>
    <w:link w:val="FootnoteTextChar"/>
    <w:uiPriority w:val="99"/>
    <w:semiHidden/>
    <w:rPr>
      <w:sz w:val="20"/>
      <w:szCs w:val="20"/>
    </w:rPr>
  </w:style>
  <w:style w:type="paragraph" w:customStyle="1" w:styleId="MFNumLev5">
    <w:name w:val="MFNumLev5"/>
    <w:basedOn w:val="Normal"/>
    <w:link w:val="MFNumLev5Char"/>
    <w:pPr>
      <w:numPr>
        <w:ilvl w:val="4"/>
        <w:numId w:val="2"/>
      </w:numPr>
      <w:spacing w:after="240"/>
      <w:jc w:val="both"/>
      <w:outlineLvl w:val="4"/>
    </w:pPr>
    <w:rPr>
      <w:rFonts w:ascii="Book Antiqua" w:hAnsi="Book Antiqua" w:cs="Book Antiqua"/>
      <w:sz w:val="20"/>
      <w:szCs w:val="20"/>
      <w:lang w:val="en-IE"/>
    </w:rPr>
  </w:style>
  <w:style w:type="character" w:customStyle="1" w:styleId="Heading1Char">
    <w:name w:val="Heading 1 Char"/>
    <w:basedOn w:val="DefaultParagraphFont"/>
    <w:link w:val="Heading1"/>
    <w:uiPriority w:val="9"/>
    <w:rPr>
      <w:color w:val="365F91"/>
      <w:sz w:val="32"/>
      <w:szCs w:val="32"/>
    </w:rPr>
  </w:style>
  <w:style w:type="character" w:customStyle="1" w:styleId="MFNumLev3Char">
    <w:name w:val="MFNumLev3 Char"/>
    <w:link w:val="MFNumLev3"/>
    <w:rPr>
      <w:rFonts w:ascii="Book Antiqua" w:hAnsi="Book Antiqua" w:cs="Book Antiqua"/>
      <w:sz w:val="20"/>
      <w:szCs w:val="20"/>
    </w:rPr>
  </w:style>
  <w:style w:type="character" w:customStyle="1" w:styleId="Heading4Char">
    <w:name w:val="Heading 4 Char"/>
    <w:basedOn w:val="DefaultParagraphFont"/>
    <w:link w:val="Heading4"/>
    <w:uiPriority w:val="9"/>
    <w:rPr>
      <w:b/>
      <w:bCs/>
      <w:i/>
      <w:iCs/>
      <w:color w:val="4F81BD"/>
    </w:rPr>
  </w:style>
  <w:style w:type="character" w:customStyle="1" w:styleId="Heading5Char">
    <w:name w:val="Heading 5 Char"/>
    <w:basedOn w:val="DefaultParagraphFont"/>
    <w:link w:val="Heading5"/>
    <w:uiPriority w:val="9"/>
    <w:rPr>
      <w:color w:val="243F60"/>
    </w:rPr>
  </w:style>
  <w:style w:type="paragraph" w:customStyle="1" w:styleId="NALevel6">
    <w:name w:val="NA Level 6"/>
    <w:basedOn w:val="Normal"/>
    <w:next w:val="Normal"/>
    <w:pPr>
      <w:numPr>
        <w:ilvl w:val="5"/>
        <w:numId w:val="4"/>
      </w:numPr>
      <w:jc w:val="both"/>
    </w:pPr>
  </w:style>
  <w:style w:type="character" w:customStyle="1" w:styleId="Heading7Char">
    <w:name w:val="Heading 7 Char"/>
    <w:basedOn w:val="DefaultParagraphFont"/>
    <w:link w:val="Heading7"/>
    <w:uiPriority w:val="9"/>
    <w:rPr>
      <w:sz w:val="20"/>
      <w:szCs w:val="20"/>
    </w:rPr>
  </w:style>
  <w:style w:type="character" w:customStyle="1" w:styleId="FootnoteTextChar">
    <w:name w:val="Footnote Text Char"/>
    <w:basedOn w:val="DefaultParagraphFont"/>
    <w:link w:val="FootnoteText"/>
    <w:uiPriority w:val="99"/>
    <w:semiHidden/>
  </w:style>
  <w:style w:type="character" w:customStyle="1" w:styleId="MFNumLev5Char">
    <w:name w:val="MFNumLev5 Char"/>
    <w:link w:val="MFNumLev5"/>
    <w:rPr>
      <w:rFonts w:ascii="Book Antiqua" w:hAnsi="Book Antiqua" w:cs="Book Antiqua"/>
      <w:sz w:val="20"/>
      <w:szCs w:val="20"/>
    </w:rPr>
  </w:style>
  <w:style w:type="paragraph" w:styleId="BodyText">
    <w:name w:val="Body Text"/>
    <w:basedOn w:val="Normal"/>
    <w:link w:val="BodyTextChar"/>
    <w:uiPriority w:val="99"/>
    <w:pPr>
      <w:jc w:val="both"/>
    </w:pPr>
    <w:rPr>
      <w:sz w:val="22"/>
      <w:szCs w:val="22"/>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link w:val="BodyText2Char"/>
    <w:uiPriority w:val="99"/>
    <w:pPr>
      <w:jc w:val="both"/>
    </w:pPr>
    <w:rPr>
      <w:sz w:val="20"/>
      <w:szCs w:val="20"/>
    </w:rPr>
  </w:style>
  <w:style w:type="character" w:customStyle="1" w:styleId="HeaderChar">
    <w:name w:val="Header Char"/>
    <w:basedOn w:val="DefaultParagraphFont"/>
    <w:link w:val="Header"/>
    <w:uiPriority w:val="99"/>
  </w:style>
  <w:style w:type="character" w:customStyle="1" w:styleId="BodyText2Char">
    <w:name w:val="Body Text 2 Char"/>
    <w:basedOn w:val="DefaultParagraphFont"/>
    <w:link w:val="BodyText2"/>
    <w:uiPriority w:val="99"/>
  </w:style>
  <w:style w:type="paragraph" w:styleId="Footer">
    <w:name w:val="footer"/>
    <w:basedOn w:val="Normal"/>
    <w:link w:val="FooterChar"/>
    <w:uiPriority w:val="99"/>
    <w:pPr>
      <w:tabs>
        <w:tab w:val="center" w:pos="4153"/>
        <w:tab w:val="right" w:pos="8306"/>
      </w:tabs>
    </w:pPr>
  </w:style>
  <w:style w:type="paragraph" w:customStyle="1" w:styleId="ACBulletLv3">
    <w:name w:val="AC Bullet Lv 3"/>
    <w:basedOn w:val="Normal"/>
    <w:uiPriority w:val="99"/>
    <w:pPr>
      <w:numPr>
        <w:ilvl w:val="2"/>
        <w:numId w:val="3"/>
      </w:numPr>
      <w:spacing w:after="220"/>
      <w:jc w:val="both"/>
      <w:outlineLvl w:val="2"/>
    </w:pPr>
    <w:rPr>
      <w:sz w:val="22"/>
      <w:szCs w:val="22"/>
      <w:lang w:val="en-IE"/>
    </w:rPr>
  </w:style>
  <w:style w:type="character" w:customStyle="1" w:styleId="FooterChar">
    <w:name w:val="Footer Char"/>
    <w:basedOn w:val="DefaultParagraphFont"/>
    <w:link w:val="Footer"/>
    <w:uiPriority w:val="99"/>
  </w:style>
  <w:style w:type="paragraph" w:customStyle="1" w:styleId="Bodycopy">
    <w:name w:val="Body copy"/>
    <w:link w:val="BodycopyChar"/>
    <w:qFormat/>
    <w:pPr>
      <w:adjustRightInd w:val="0"/>
      <w:jc w:val="both"/>
    </w:pPr>
    <w:rPr>
      <w:rFonts w:ascii="Arial" w:hAnsi="Arial" w:cs="Arial"/>
      <w:color w:val="000000"/>
      <w:lang w:val="en-GB" w:eastAsia="ja-JP"/>
    </w:rPr>
  </w:style>
  <w:style w:type="character" w:styleId="PageNumber">
    <w:name w:val="page number"/>
    <w:basedOn w:val="DefaultParagraphFont"/>
    <w:uiPriority w:val="99"/>
  </w:style>
  <w:style w:type="paragraph" w:customStyle="1" w:styleId="MFSchLev4">
    <w:name w:val="MFSchLev4"/>
    <w:basedOn w:val="Normal"/>
    <w:link w:val="MFSchLev4Char"/>
    <w:pPr>
      <w:numPr>
        <w:ilvl w:val="3"/>
        <w:numId w:val="1"/>
      </w:numPr>
      <w:spacing w:after="240"/>
      <w:jc w:val="both"/>
    </w:pPr>
    <w:rPr>
      <w:rFonts w:ascii="Book Antiqua" w:hAnsi="Book Antiqua" w:cs="Book Antiqua"/>
      <w:sz w:val="20"/>
      <w:szCs w:val="20"/>
      <w:lang w:val="en-IE" w:eastAsia="en-GB"/>
    </w:rPr>
  </w:style>
  <w:style w:type="character" w:customStyle="1" w:styleId="BodyChar">
    <w:name w:val="Body Char"/>
    <w:link w:val="Body"/>
    <w:uiPriority w:val="99"/>
  </w:style>
  <w:style w:type="paragraph" w:styleId="BodyTextIndent">
    <w:name w:val="Body Text Indent"/>
    <w:basedOn w:val="Normal"/>
    <w:link w:val="BodyTextIndentChar"/>
    <w:uiPriority w:val="99"/>
    <w:pPr>
      <w:overflowPunct w:val="0"/>
      <w:autoSpaceDE w:val="0"/>
      <w:autoSpaceDN w:val="0"/>
      <w:ind w:left="900" w:hanging="600"/>
      <w:jc w:val="both"/>
    </w:pPr>
    <w:rPr>
      <w:sz w:val="20"/>
      <w:szCs w:val="20"/>
    </w:rPr>
  </w:style>
  <w:style w:type="paragraph" w:styleId="TOC1">
    <w:name w:val="toc 1"/>
    <w:basedOn w:val="Normal"/>
    <w:next w:val="Normal"/>
    <w:uiPriority w:val="39"/>
    <w:pPr>
      <w:tabs>
        <w:tab w:val="left" w:pos="720"/>
        <w:tab w:val="right" w:leader="dot" w:pos="8640"/>
      </w:tabs>
      <w:spacing w:after="240"/>
      <w:jc w:val="both"/>
    </w:pPr>
    <w:rPr>
      <w:noProof/>
      <w:sz w:val="22"/>
      <w:szCs w:val="22"/>
      <w:lang w:val="en-IE" w:eastAsia="en-IE"/>
    </w:rPr>
  </w:style>
  <w:style w:type="paragraph" w:customStyle="1" w:styleId="SubjectLine">
    <w:name w:val="SubjectLine"/>
    <w:basedOn w:val="Normal"/>
    <w:pPr>
      <w:jc w:val="both"/>
    </w:pPr>
    <w:rPr>
      <w:b/>
      <w:bCs/>
      <w:lang w:val="en-IE"/>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rPr>
      <w:color w:val="800080"/>
      <w:u w:val="single"/>
    </w:rPr>
  </w:style>
  <w:style w:type="paragraph" w:customStyle="1" w:styleId="Header1">
    <w:name w:val="Header_1"/>
    <w:uiPriority w:val="99"/>
    <w:pPr>
      <w:tabs>
        <w:tab w:val="center" w:pos="4153"/>
        <w:tab w:val="right" w:pos="8306"/>
      </w:tabs>
      <w:adjustRightInd w:val="0"/>
    </w:pPr>
    <w:rPr>
      <w:rFonts w:ascii="Times New Roman" w:hAnsi="Times New Roman" w:cs="Times New Roman"/>
      <w:sz w:val="24"/>
      <w:szCs w:val="24"/>
      <w:lang w:val="en-GB" w:eastAsia="en-US"/>
    </w:rPr>
  </w:style>
  <w:style w:type="paragraph" w:customStyle="1" w:styleId="Header10">
    <w:name w:val="Header_1"/>
    <w:uiPriority w:val="99"/>
    <w:pPr>
      <w:tabs>
        <w:tab w:val="center" w:pos="4153"/>
        <w:tab w:val="right" w:pos="8306"/>
      </w:tabs>
      <w:adjustRightInd w:val="0"/>
    </w:pPr>
    <w:rPr>
      <w:rFonts w:ascii="Times New Roman" w:hAnsi="Times New Roman" w:cs="Times New Roman"/>
      <w:sz w:val="24"/>
      <w:szCs w:val="24"/>
      <w:lang w:val="en-GB" w:eastAsia="en-US"/>
    </w:rPr>
  </w:style>
  <w:style w:type="character" w:styleId="FootnoteReference">
    <w:name w:val="footnote reference"/>
    <w:aliases w:val="*"/>
    <w:basedOn w:val="DefaultParagraphFont"/>
    <w:uiPriority w:val="99"/>
    <w:rPr>
      <w:vertAlign w:val="superscript"/>
    </w:rPr>
  </w:style>
  <w:style w:type="paragraph" w:styleId="ListParagraph">
    <w:name w:val="List Paragraph"/>
    <w:basedOn w:val="Normal"/>
    <w:uiPriority w:val="1"/>
    <w:qFormat/>
    <w:pPr>
      <w:ind w:left="720"/>
    </w:pPr>
  </w:style>
  <w:style w:type="character" w:customStyle="1" w:styleId="FootnoteReference1">
    <w:name w:val="FootnoteReference_1"/>
    <w:uiPriority w:val="99"/>
    <w:rPr>
      <w:rFonts w:ascii="Times New Roman" w:hAnsi="Times New Roman" w:cs="Times New Roman"/>
      <w:sz w:val="24"/>
      <w:szCs w:val="24"/>
      <w:vertAlign w:val="superscript"/>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customStyle="1" w:styleId="MFNumLev2">
    <w:name w:val="MFNumLev2"/>
    <w:basedOn w:val="MFNumLev1"/>
    <w:pPr>
      <w:keepNext w:val="0"/>
      <w:outlineLvl w:val="1"/>
    </w:pPr>
    <w:rPr>
      <w:b w:val="0"/>
      <w:bCs w:val="0"/>
    </w:rPr>
  </w:style>
  <w:style w:type="paragraph" w:customStyle="1" w:styleId="Body">
    <w:name w:val="Body"/>
    <w:basedOn w:val="Normal"/>
    <w:link w:val="BodyChar"/>
    <w:uiPriority w:val="99"/>
    <w:pPr>
      <w:spacing w:after="220"/>
      <w:jc w:val="both"/>
    </w:pPr>
    <w:rPr>
      <w:sz w:val="22"/>
      <w:szCs w:val="22"/>
      <w:lang w:val="en-IE"/>
    </w:rPr>
  </w:style>
  <w:style w:type="paragraph" w:customStyle="1" w:styleId="Default">
    <w:name w:val="Default"/>
    <w:pPr>
      <w:autoSpaceDE w:val="0"/>
      <w:autoSpaceDN w:val="0"/>
      <w:adjustRightInd w:val="0"/>
    </w:pPr>
    <w:rPr>
      <w:rFonts w:ascii="Arial" w:hAnsi="Arial" w:cs="Arial"/>
      <w:color w:val="000000"/>
      <w:sz w:val="24"/>
      <w:szCs w:val="24"/>
      <w:lang w:val="en-GB" w:eastAsia="en-US"/>
    </w:rPr>
  </w:style>
  <w:style w:type="paragraph" w:customStyle="1" w:styleId="ACBulletLv5">
    <w:name w:val="AC Bullet Lv 5"/>
    <w:basedOn w:val="Normal"/>
    <w:uiPriority w:val="99"/>
    <w:pPr>
      <w:numPr>
        <w:ilvl w:val="4"/>
        <w:numId w:val="3"/>
      </w:numPr>
      <w:spacing w:after="220"/>
      <w:jc w:val="both"/>
      <w:outlineLvl w:val="4"/>
    </w:pPr>
    <w:rPr>
      <w:sz w:val="22"/>
      <w:szCs w:val="22"/>
      <w:lang w:val="en-IE"/>
    </w:rPr>
  </w:style>
  <w:style w:type="character" w:customStyle="1" w:styleId="MFSchLev4Char">
    <w:name w:val="MFSchLev4 Char"/>
    <w:link w:val="MFSchLev4"/>
    <w:rPr>
      <w:rFonts w:ascii="Book Antiqua" w:hAnsi="Book Antiqua" w:cs="Book Antiqua"/>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adjustRightInd w:val="0"/>
    </w:pPr>
    <w:rPr>
      <w:rFonts w:ascii="Times New Roman" w:hAnsi="Times New Roman" w:cs="Times New Roman"/>
      <w:sz w:val="24"/>
      <w:szCs w:val="24"/>
      <w:lang w:val="en-GB" w:eastAsia="en-US"/>
    </w:rPr>
  </w:style>
  <w:style w:type="paragraph" w:customStyle="1" w:styleId="MFNumLev1">
    <w:name w:val="MFNumLev1"/>
    <w:pPr>
      <w:keepNext/>
      <w:tabs>
        <w:tab w:val="left" w:pos="720"/>
      </w:tabs>
      <w:adjustRightInd w:val="0"/>
      <w:spacing w:after="240"/>
      <w:ind w:left="720" w:hanging="720"/>
      <w:jc w:val="both"/>
      <w:outlineLvl w:val="0"/>
    </w:pPr>
    <w:rPr>
      <w:rFonts w:ascii="Book Antiqua" w:hAnsi="Book Antiqua" w:cs="Book Antiqua"/>
      <w:b/>
      <w:bCs/>
      <w:lang w:eastAsia="en-US"/>
    </w:rPr>
  </w:style>
  <w:style w:type="paragraph" w:styleId="NormalWeb">
    <w:name w:val="Normal (Web)"/>
    <w:basedOn w:val="Normal"/>
    <w:uiPriority w:val="99"/>
    <w:pPr>
      <w:spacing w:after="120"/>
      <w:ind w:firstLine="450"/>
      <w:jc w:val="both"/>
    </w:pPr>
    <w:rPr>
      <w:rFonts w:ascii="Arial" w:hAnsi="Arial" w:cs="Arial"/>
      <w:noProof/>
      <w:sz w:val="20"/>
      <w:szCs w:val="20"/>
      <w:lang w:val="en-IE" w:eastAsia="en-IE"/>
    </w:rPr>
  </w:style>
  <w:style w:type="paragraph" w:customStyle="1" w:styleId="ACBulletLv1">
    <w:name w:val="AC Bullet Lv 1"/>
    <w:basedOn w:val="Normal"/>
    <w:uiPriority w:val="99"/>
    <w:pPr>
      <w:numPr>
        <w:numId w:val="3"/>
      </w:numPr>
      <w:spacing w:after="220"/>
      <w:jc w:val="both"/>
      <w:outlineLvl w:val="0"/>
    </w:pPr>
    <w:rPr>
      <w:sz w:val="22"/>
      <w:szCs w:val="22"/>
      <w:lang w:val="en-IE"/>
    </w:rPr>
  </w:style>
  <w:style w:type="paragraph" w:customStyle="1" w:styleId="ACBulletLv2">
    <w:name w:val="AC Bullet Lv 2"/>
    <w:basedOn w:val="Normal"/>
    <w:uiPriority w:val="99"/>
    <w:pPr>
      <w:numPr>
        <w:ilvl w:val="1"/>
        <w:numId w:val="3"/>
      </w:numPr>
      <w:spacing w:after="220"/>
      <w:jc w:val="both"/>
      <w:outlineLvl w:val="1"/>
    </w:pPr>
    <w:rPr>
      <w:sz w:val="22"/>
      <w:szCs w:val="22"/>
      <w:lang w:val="en-IE"/>
    </w:rPr>
  </w:style>
  <w:style w:type="character" w:customStyle="1" w:styleId="BodyTextIndent3Char">
    <w:name w:val="Body Text Indent 3 Char"/>
    <w:basedOn w:val="DefaultParagraphFont"/>
    <w:link w:val="BodyTextIndent3"/>
    <w:uiPriority w:val="99"/>
    <w:semiHidden/>
    <w:rPr>
      <w:sz w:val="16"/>
      <w:szCs w:val="16"/>
    </w:rPr>
  </w:style>
  <w:style w:type="paragraph" w:styleId="TOC2">
    <w:name w:val="toc 2"/>
    <w:basedOn w:val="Normal"/>
    <w:next w:val="Normal"/>
    <w:autoRedefine/>
    <w:uiPriority w:val="39"/>
    <w:pPr>
      <w:spacing w:after="100"/>
      <w:ind w:left="240"/>
    </w:pPr>
  </w:style>
  <w:style w:type="paragraph" w:customStyle="1" w:styleId="ACBulletLv4">
    <w:name w:val="AC Bullet Lv 4"/>
    <w:basedOn w:val="Normal"/>
    <w:uiPriority w:val="99"/>
    <w:pPr>
      <w:numPr>
        <w:ilvl w:val="3"/>
        <w:numId w:val="3"/>
      </w:numPr>
      <w:spacing w:after="220"/>
      <w:jc w:val="both"/>
      <w:outlineLvl w:val="3"/>
    </w:pPr>
    <w:rPr>
      <w:sz w:val="22"/>
      <w:szCs w:val="22"/>
      <w:lang w:val="en-IE"/>
    </w:rPr>
  </w:style>
  <w:style w:type="paragraph" w:styleId="BodyTextIndent3">
    <w:name w:val="Body Text Indent 3"/>
    <w:basedOn w:val="Normal"/>
    <w:link w:val="BodyTextIndent3Char"/>
    <w:uiPriority w:val="99"/>
    <w:semiHidden/>
    <w:pPr>
      <w:spacing w:after="120"/>
      <w:ind w:left="283"/>
    </w:pPr>
    <w:rPr>
      <w:sz w:val="16"/>
      <w:szCs w:val="16"/>
    </w:rPr>
  </w:style>
  <w:style w:type="paragraph" w:customStyle="1" w:styleId="NALevel1">
    <w:name w:val="NA Level 1"/>
    <w:basedOn w:val="Normal"/>
    <w:next w:val="Normal"/>
    <w:pPr>
      <w:numPr>
        <w:numId w:val="4"/>
      </w:numPr>
      <w:jc w:val="both"/>
    </w:pPr>
  </w:style>
  <w:style w:type="paragraph" w:customStyle="1" w:styleId="NALevel2">
    <w:name w:val="NA Level 2"/>
    <w:basedOn w:val="Normal"/>
    <w:next w:val="Normal"/>
    <w:pPr>
      <w:numPr>
        <w:ilvl w:val="1"/>
        <w:numId w:val="4"/>
      </w:numPr>
      <w:jc w:val="both"/>
    </w:pPr>
  </w:style>
  <w:style w:type="paragraph" w:customStyle="1" w:styleId="NALevel3">
    <w:name w:val="NA Level 3"/>
    <w:basedOn w:val="Normal"/>
    <w:next w:val="Normal"/>
    <w:pPr>
      <w:numPr>
        <w:ilvl w:val="2"/>
        <w:numId w:val="4"/>
      </w:numPr>
      <w:jc w:val="both"/>
    </w:pPr>
  </w:style>
  <w:style w:type="paragraph" w:customStyle="1" w:styleId="NALevel4">
    <w:name w:val="NA Level 4"/>
    <w:basedOn w:val="Normal"/>
    <w:next w:val="Normal"/>
    <w:pPr>
      <w:numPr>
        <w:ilvl w:val="3"/>
        <w:numId w:val="4"/>
      </w:numPr>
      <w:jc w:val="both"/>
    </w:pPr>
  </w:style>
  <w:style w:type="paragraph" w:customStyle="1" w:styleId="NALevel5">
    <w:name w:val="NA Level 5"/>
    <w:basedOn w:val="Normal"/>
    <w:next w:val="Normal"/>
    <w:pPr>
      <w:numPr>
        <w:ilvl w:val="4"/>
        <w:numId w:val="4"/>
      </w:numPr>
      <w:jc w:val="both"/>
    </w:pPr>
  </w:style>
  <w:style w:type="paragraph" w:customStyle="1" w:styleId="Prospectus2">
    <w:name w:val="Prospectus2"/>
    <w:basedOn w:val="Normal"/>
    <w:next w:val="Normal"/>
    <w:pPr>
      <w:jc w:val="center"/>
    </w:pPr>
    <w:rPr>
      <w:b/>
      <w:bCs/>
      <w:sz w:val="22"/>
      <w:szCs w:val="22"/>
    </w:rPr>
  </w:style>
  <w:style w:type="paragraph" w:customStyle="1" w:styleId="ACSchLv1">
    <w:name w:val="AC Sch Lv 1"/>
    <w:basedOn w:val="Normal"/>
    <w:uiPriority w:val="99"/>
    <w:pPr>
      <w:numPr>
        <w:numId w:val="5"/>
      </w:numPr>
      <w:spacing w:after="220"/>
      <w:jc w:val="both"/>
      <w:outlineLvl w:val="0"/>
    </w:pPr>
    <w:rPr>
      <w:sz w:val="22"/>
      <w:szCs w:val="22"/>
      <w:lang w:val="en-IE" w:eastAsia="en-IE"/>
    </w:rPr>
  </w:style>
  <w:style w:type="paragraph" w:customStyle="1" w:styleId="ACSchLv2">
    <w:name w:val="AC Sch Lv 2"/>
    <w:basedOn w:val="Normal"/>
    <w:uiPriority w:val="99"/>
    <w:pPr>
      <w:numPr>
        <w:ilvl w:val="1"/>
        <w:numId w:val="5"/>
      </w:numPr>
      <w:spacing w:after="220"/>
      <w:jc w:val="both"/>
      <w:outlineLvl w:val="1"/>
    </w:pPr>
    <w:rPr>
      <w:sz w:val="22"/>
      <w:szCs w:val="22"/>
      <w:lang w:val="en-IE" w:eastAsia="en-IE"/>
    </w:rPr>
  </w:style>
  <w:style w:type="paragraph" w:customStyle="1" w:styleId="ACSchLv3">
    <w:name w:val="AC Sch Lv 3"/>
    <w:basedOn w:val="Normal"/>
    <w:uiPriority w:val="99"/>
    <w:pPr>
      <w:numPr>
        <w:ilvl w:val="2"/>
        <w:numId w:val="5"/>
      </w:numPr>
      <w:tabs>
        <w:tab w:val="left" w:pos="720"/>
      </w:tabs>
      <w:spacing w:after="220"/>
      <w:jc w:val="both"/>
      <w:outlineLvl w:val="2"/>
    </w:pPr>
    <w:rPr>
      <w:sz w:val="22"/>
      <w:szCs w:val="22"/>
      <w:lang w:val="en-IE" w:eastAsia="en-IE"/>
    </w:rPr>
  </w:style>
  <w:style w:type="paragraph" w:customStyle="1" w:styleId="ACSchLv4">
    <w:name w:val="AC Sch Lv 4"/>
    <w:basedOn w:val="Normal"/>
    <w:uiPriority w:val="99"/>
    <w:pPr>
      <w:numPr>
        <w:ilvl w:val="3"/>
        <w:numId w:val="5"/>
      </w:numPr>
      <w:spacing w:after="220"/>
      <w:jc w:val="both"/>
      <w:outlineLvl w:val="3"/>
    </w:pPr>
    <w:rPr>
      <w:sz w:val="22"/>
      <w:szCs w:val="22"/>
      <w:lang w:val="en-IE" w:eastAsia="en-IE"/>
    </w:rPr>
  </w:style>
  <w:style w:type="paragraph" w:customStyle="1" w:styleId="ACSchLv5">
    <w:name w:val="AC Sch Lv 5"/>
    <w:basedOn w:val="Normal"/>
    <w:uiPriority w:val="99"/>
    <w:pPr>
      <w:numPr>
        <w:ilvl w:val="4"/>
        <w:numId w:val="5"/>
      </w:numPr>
      <w:spacing w:after="220"/>
      <w:jc w:val="both"/>
      <w:outlineLvl w:val="4"/>
    </w:pPr>
    <w:rPr>
      <w:sz w:val="22"/>
      <w:szCs w:val="22"/>
      <w:lang w:val="en-IE" w:eastAsia="en-IE"/>
    </w:rPr>
  </w:style>
  <w:style w:type="paragraph" w:styleId="TOCHeading">
    <w:name w:val="TOC Heading"/>
    <w:basedOn w:val="Heading1"/>
    <w:next w:val="Normal"/>
    <w:uiPriority w:val="39"/>
    <w:qFormat/>
    <w:pPr>
      <w:spacing w:line="259" w:lineRule="auto"/>
      <w:outlineLvl w:val="9"/>
    </w:pPr>
    <w:rPr>
      <w:lang w:val="en-US"/>
    </w:rPr>
  </w:style>
  <w:style w:type="paragraph" w:styleId="TOC3">
    <w:name w:val="toc 3"/>
    <w:basedOn w:val="Normal"/>
    <w:next w:val="Normal"/>
    <w:autoRedefine/>
    <w:uiPriority w:val="39"/>
    <w:pPr>
      <w:spacing w:after="100" w:line="259" w:lineRule="auto"/>
      <w:ind w:left="440"/>
    </w:pPr>
    <w:rPr>
      <w:rFonts w:ascii="Calibri" w:eastAsia="Yu Gothic UI" w:hAnsi="Calibri" w:cs="Calibri"/>
      <w:sz w:val="22"/>
      <w:szCs w:val="22"/>
      <w:lang w:val="en-US"/>
    </w:rPr>
  </w:style>
  <w:style w:type="character" w:customStyle="1" w:styleId="e24kjd">
    <w:name w:val="e24kjd"/>
    <w:basedOn w:val="DefaultParagraphFont"/>
  </w:style>
  <w:style w:type="character" w:styleId="Emphasis">
    <w:name w:val="Emphasis"/>
    <w:basedOn w:val="DefaultParagraphFont"/>
    <w:uiPriority w:val="20"/>
    <w:qFormat/>
    <w:rPr>
      <w:b/>
      <w:bCs/>
    </w:rPr>
  </w:style>
  <w:style w:type="character" w:customStyle="1" w:styleId="st1">
    <w:name w:val="st1"/>
    <w:basedOn w:val="DefaultParagraphFont"/>
  </w:style>
  <w:style w:type="paragraph" w:customStyle="1" w:styleId="Pa10">
    <w:name w:val="Pa10"/>
    <w:basedOn w:val="Default"/>
    <w:next w:val="Default"/>
    <w:uiPriority w:val="99"/>
    <w:pPr>
      <w:spacing w:line="201" w:lineRule="atLeast"/>
    </w:pPr>
    <w:rPr>
      <w:rFonts w:ascii="Times New Roman" w:hAnsi="Times New Roman" w:cs="Times New Roman"/>
      <w:color w:val="auto"/>
      <w:lang w:val="en-US" w:eastAsia="ja-JP"/>
    </w:rPr>
  </w:style>
  <w:style w:type="table" w:styleId="TableGrid">
    <w:name w:val="Table Grid"/>
    <w:basedOn w:val="TableNormal"/>
    <w:uiPriority w:val="99"/>
    <w:pPr>
      <w:adjustRightInd w:val="0"/>
    </w:pPr>
    <w:rPr>
      <w:rFonts w:cs="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FootnoteText1">
    <w:name w:val="FootnoteText_1"/>
    <w:uiPriority w:val="99"/>
    <w:semiHidden/>
    <w:pPr>
      <w:adjustRightInd w:val="0"/>
    </w:pPr>
    <w:rPr>
      <w:rFonts w:ascii="Times New Roman" w:hAnsi="Times New Roman" w:cs="Times New Roman"/>
      <w:lang w:val="en-GB" w:eastAsia="en-US"/>
    </w:rPr>
  </w:style>
  <w:style w:type="paragraph" w:customStyle="1" w:styleId="ACBody1">
    <w:name w:val="AC Body 1"/>
    <w:basedOn w:val="Normal"/>
    <w:uiPriority w:val="99"/>
    <w:rsid w:val="00733128"/>
    <w:pPr>
      <w:spacing w:after="220"/>
      <w:ind w:left="720"/>
      <w:jc w:val="both"/>
    </w:pPr>
    <w:rPr>
      <w:sz w:val="22"/>
      <w:szCs w:val="22"/>
      <w:lang w:val="en-IE" w:eastAsia="en-IE"/>
    </w:rPr>
  </w:style>
  <w:style w:type="paragraph" w:customStyle="1" w:styleId="ACLevel1">
    <w:name w:val="AC Level 1"/>
    <w:basedOn w:val="ACBody1"/>
    <w:uiPriority w:val="99"/>
    <w:rsid w:val="00733128"/>
    <w:pPr>
      <w:numPr>
        <w:numId w:val="13"/>
      </w:numPr>
      <w:outlineLvl w:val="0"/>
    </w:pPr>
  </w:style>
  <w:style w:type="character" w:customStyle="1" w:styleId="ACLevel1asheadingtext">
    <w:name w:val="AC Level 1 as heading (text)"/>
    <w:basedOn w:val="DefaultParagraphFont"/>
    <w:uiPriority w:val="99"/>
    <w:rsid w:val="00733128"/>
    <w:rPr>
      <w:b/>
      <w:bCs/>
    </w:rPr>
  </w:style>
  <w:style w:type="paragraph" w:customStyle="1" w:styleId="ACLevel2">
    <w:name w:val="AC Level 2"/>
    <w:basedOn w:val="Normal"/>
    <w:uiPriority w:val="99"/>
    <w:rsid w:val="00733128"/>
    <w:pPr>
      <w:numPr>
        <w:ilvl w:val="1"/>
        <w:numId w:val="13"/>
      </w:numPr>
      <w:spacing w:after="220"/>
      <w:jc w:val="both"/>
      <w:outlineLvl w:val="1"/>
    </w:pPr>
    <w:rPr>
      <w:sz w:val="22"/>
      <w:szCs w:val="22"/>
      <w:lang w:val="en-IE" w:eastAsia="en-IE"/>
    </w:rPr>
  </w:style>
  <w:style w:type="paragraph" w:customStyle="1" w:styleId="ACLevel3">
    <w:name w:val="AC Level 3"/>
    <w:basedOn w:val="Normal"/>
    <w:uiPriority w:val="99"/>
    <w:rsid w:val="00733128"/>
    <w:pPr>
      <w:numPr>
        <w:ilvl w:val="2"/>
        <w:numId w:val="13"/>
      </w:numPr>
      <w:spacing w:after="220"/>
      <w:jc w:val="both"/>
      <w:outlineLvl w:val="2"/>
    </w:pPr>
    <w:rPr>
      <w:sz w:val="22"/>
      <w:szCs w:val="22"/>
      <w:lang w:val="en-IE" w:eastAsia="en-IE"/>
    </w:rPr>
  </w:style>
  <w:style w:type="paragraph" w:customStyle="1" w:styleId="ACLevel4">
    <w:name w:val="AC Level 4"/>
    <w:basedOn w:val="Normal"/>
    <w:uiPriority w:val="99"/>
    <w:rsid w:val="00733128"/>
    <w:pPr>
      <w:numPr>
        <w:ilvl w:val="3"/>
        <w:numId w:val="13"/>
      </w:numPr>
      <w:spacing w:after="220"/>
      <w:jc w:val="both"/>
      <w:outlineLvl w:val="3"/>
    </w:pPr>
    <w:rPr>
      <w:sz w:val="22"/>
      <w:szCs w:val="22"/>
      <w:lang w:val="en-IE" w:eastAsia="en-IE"/>
    </w:rPr>
  </w:style>
  <w:style w:type="paragraph" w:customStyle="1" w:styleId="ACLevel5">
    <w:name w:val="AC Level 5"/>
    <w:basedOn w:val="Normal"/>
    <w:uiPriority w:val="99"/>
    <w:rsid w:val="00733128"/>
    <w:pPr>
      <w:numPr>
        <w:ilvl w:val="4"/>
        <w:numId w:val="13"/>
      </w:numPr>
      <w:spacing w:after="220"/>
      <w:jc w:val="both"/>
      <w:outlineLvl w:val="4"/>
    </w:pPr>
    <w:rPr>
      <w:sz w:val="22"/>
      <w:szCs w:val="22"/>
      <w:lang w:val="en-IE" w:eastAsia="en-IE"/>
    </w:rPr>
  </w:style>
  <w:style w:type="paragraph" w:customStyle="1" w:styleId="CM13">
    <w:name w:val="CM13"/>
    <w:basedOn w:val="Default"/>
    <w:next w:val="Default"/>
    <w:uiPriority w:val="99"/>
    <w:rsid w:val="00733128"/>
    <w:pPr>
      <w:widowControl w:val="0"/>
    </w:pPr>
    <w:rPr>
      <w:rFonts w:eastAsiaTheme="minorEastAsia"/>
      <w:color w:val="auto"/>
      <w:lang w:val="en-IE" w:eastAsia="en-IE"/>
    </w:rPr>
  </w:style>
  <w:style w:type="paragraph" w:customStyle="1" w:styleId="CM14">
    <w:name w:val="CM14"/>
    <w:basedOn w:val="Normal"/>
    <w:next w:val="Normal"/>
    <w:uiPriority w:val="99"/>
    <w:rsid w:val="00733128"/>
    <w:pPr>
      <w:widowControl w:val="0"/>
      <w:autoSpaceDE w:val="0"/>
      <w:autoSpaceDN w:val="0"/>
    </w:pPr>
    <w:rPr>
      <w:rFonts w:ascii="Arial" w:eastAsiaTheme="minorEastAsia" w:hAnsi="Arial" w:cs="Arial"/>
      <w:lang w:val="en-IE" w:eastAsia="en-IE"/>
    </w:rPr>
  </w:style>
  <w:style w:type="paragraph" w:customStyle="1" w:styleId="CM2">
    <w:name w:val="CM2"/>
    <w:basedOn w:val="Default"/>
    <w:next w:val="Default"/>
    <w:uiPriority w:val="99"/>
    <w:rsid w:val="00733128"/>
    <w:pPr>
      <w:widowControl w:val="0"/>
      <w:spacing w:line="231" w:lineRule="atLeast"/>
    </w:pPr>
    <w:rPr>
      <w:rFonts w:eastAsiaTheme="minorEastAsia"/>
      <w:color w:val="auto"/>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89">
      <w:bodyDiv w:val="1"/>
      <w:marLeft w:val="0"/>
      <w:marRight w:val="0"/>
      <w:marTop w:val="0"/>
      <w:marBottom w:val="0"/>
      <w:divBdr>
        <w:top w:val="none" w:sz="0" w:space="0" w:color="auto"/>
        <w:left w:val="none" w:sz="0" w:space="0" w:color="auto"/>
        <w:bottom w:val="none" w:sz="0" w:space="0" w:color="auto"/>
        <w:right w:val="none" w:sz="0" w:space="0" w:color="auto"/>
      </w:divBdr>
    </w:div>
    <w:div w:id="338780548">
      <w:bodyDiv w:val="1"/>
      <w:marLeft w:val="0"/>
      <w:marRight w:val="0"/>
      <w:marTop w:val="0"/>
      <w:marBottom w:val="0"/>
      <w:divBdr>
        <w:top w:val="none" w:sz="0" w:space="0" w:color="auto"/>
        <w:left w:val="none" w:sz="0" w:space="0" w:color="auto"/>
        <w:bottom w:val="none" w:sz="0" w:space="0" w:color="auto"/>
        <w:right w:val="none" w:sz="0" w:space="0" w:color="auto"/>
      </w:divBdr>
    </w:div>
    <w:div w:id="390807049">
      <w:bodyDiv w:val="1"/>
      <w:marLeft w:val="0"/>
      <w:marRight w:val="0"/>
      <w:marTop w:val="0"/>
      <w:marBottom w:val="0"/>
      <w:divBdr>
        <w:top w:val="none" w:sz="0" w:space="0" w:color="auto"/>
        <w:left w:val="none" w:sz="0" w:space="0" w:color="auto"/>
        <w:bottom w:val="none" w:sz="0" w:space="0" w:color="auto"/>
        <w:right w:val="none" w:sz="0" w:space="0" w:color="auto"/>
      </w:divBdr>
    </w:div>
    <w:div w:id="459038804">
      <w:bodyDiv w:val="1"/>
      <w:marLeft w:val="0"/>
      <w:marRight w:val="0"/>
      <w:marTop w:val="0"/>
      <w:marBottom w:val="0"/>
      <w:divBdr>
        <w:top w:val="none" w:sz="0" w:space="0" w:color="auto"/>
        <w:left w:val="none" w:sz="0" w:space="0" w:color="auto"/>
        <w:bottom w:val="none" w:sz="0" w:space="0" w:color="auto"/>
        <w:right w:val="none" w:sz="0" w:space="0" w:color="auto"/>
      </w:divBdr>
    </w:div>
    <w:div w:id="504975946">
      <w:bodyDiv w:val="1"/>
      <w:marLeft w:val="0"/>
      <w:marRight w:val="0"/>
      <w:marTop w:val="0"/>
      <w:marBottom w:val="0"/>
      <w:divBdr>
        <w:top w:val="none" w:sz="0" w:space="0" w:color="auto"/>
        <w:left w:val="none" w:sz="0" w:space="0" w:color="auto"/>
        <w:bottom w:val="none" w:sz="0" w:space="0" w:color="auto"/>
        <w:right w:val="none" w:sz="0" w:space="0" w:color="auto"/>
      </w:divBdr>
    </w:div>
    <w:div w:id="525557477">
      <w:bodyDiv w:val="1"/>
      <w:marLeft w:val="0"/>
      <w:marRight w:val="0"/>
      <w:marTop w:val="0"/>
      <w:marBottom w:val="0"/>
      <w:divBdr>
        <w:top w:val="none" w:sz="0" w:space="0" w:color="auto"/>
        <w:left w:val="none" w:sz="0" w:space="0" w:color="auto"/>
        <w:bottom w:val="none" w:sz="0" w:space="0" w:color="auto"/>
        <w:right w:val="none" w:sz="0" w:space="0" w:color="auto"/>
      </w:divBdr>
    </w:div>
    <w:div w:id="637685756">
      <w:bodyDiv w:val="1"/>
      <w:marLeft w:val="0"/>
      <w:marRight w:val="0"/>
      <w:marTop w:val="0"/>
      <w:marBottom w:val="0"/>
      <w:divBdr>
        <w:top w:val="none" w:sz="0" w:space="0" w:color="auto"/>
        <w:left w:val="none" w:sz="0" w:space="0" w:color="auto"/>
        <w:bottom w:val="none" w:sz="0" w:space="0" w:color="auto"/>
        <w:right w:val="none" w:sz="0" w:space="0" w:color="auto"/>
      </w:divBdr>
    </w:div>
    <w:div w:id="716248140">
      <w:bodyDiv w:val="1"/>
      <w:marLeft w:val="0"/>
      <w:marRight w:val="0"/>
      <w:marTop w:val="0"/>
      <w:marBottom w:val="0"/>
      <w:divBdr>
        <w:top w:val="none" w:sz="0" w:space="0" w:color="auto"/>
        <w:left w:val="none" w:sz="0" w:space="0" w:color="auto"/>
        <w:bottom w:val="none" w:sz="0" w:space="0" w:color="auto"/>
        <w:right w:val="none" w:sz="0" w:space="0" w:color="auto"/>
      </w:divBdr>
    </w:div>
    <w:div w:id="889418409">
      <w:marLeft w:val="0"/>
      <w:marRight w:val="0"/>
      <w:marTop w:val="0"/>
      <w:marBottom w:val="0"/>
      <w:divBdr>
        <w:top w:val="none" w:sz="0" w:space="0" w:color="auto"/>
        <w:left w:val="none" w:sz="0" w:space="0" w:color="auto"/>
        <w:bottom w:val="none" w:sz="0" w:space="0" w:color="auto"/>
        <w:right w:val="none" w:sz="0" w:space="0" w:color="auto"/>
      </w:divBdr>
    </w:div>
    <w:div w:id="889418410">
      <w:marLeft w:val="0"/>
      <w:marRight w:val="0"/>
      <w:marTop w:val="0"/>
      <w:marBottom w:val="0"/>
      <w:divBdr>
        <w:top w:val="none" w:sz="0" w:space="0" w:color="auto"/>
        <w:left w:val="none" w:sz="0" w:space="0" w:color="auto"/>
        <w:bottom w:val="none" w:sz="0" w:space="0" w:color="auto"/>
        <w:right w:val="none" w:sz="0" w:space="0" w:color="auto"/>
      </w:divBdr>
    </w:div>
    <w:div w:id="889418411">
      <w:marLeft w:val="0"/>
      <w:marRight w:val="0"/>
      <w:marTop w:val="0"/>
      <w:marBottom w:val="0"/>
      <w:divBdr>
        <w:top w:val="none" w:sz="0" w:space="0" w:color="auto"/>
        <w:left w:val="none" w:sz="0" w:space="0" w:color="auto"/>
        <w:bottom w:val="none" w:sz="0" w:space="0" w:color="auto"/>
        <w:right w:val="none" w:sz="0" w:space="0" w:color="auto"/>
      </w:divBdr>
    </w:div>
    <w:div w:id="889418412">
      <w:marLeft w:val="0"/>
      <w:marRight w:val="0"/>
      <w:marTop w:val="0"/>
      <w:marBottom w:val="0"/>
      <w:divBdr>
        <w:top w:val="none" w:sz="0" w:space="0" w:color="auto"/>
        <w:left w:val="none" w:sz="0" w:space="0" w:color="auto"/>
        <w:bottom w:val="none" w:sz="0" w:space="0" w:color="auto"/>
        <w:right w:val="none" w:sz="0" w:space="0" w:color="auto"/>
      </w:divBdr>
    </w:div>
    <w:div w:id="889418413">
      <w:marLeft w:val="0"/>
      <w:marRight w:val="0"/>
      <w:marTop w:val="0"/>
      <w:marBottom w:val="0"/>
      <w:divBdr>
        <w:top w:val="none" w:sz="0" w:space="0" w:color="auto"/>
        <w:left w:val="none" w:sz="0" w:space="0" w:color="auto"/>
        <w:bottom w:val="none" w:sz="0" w:space="0" w:color="auto"/>
        <w:right w:val="none" w:sz="0" w:space="0" w:color="auto"/>
      </w:divBdr>
    </w:div>
    <w:div w:id="889418414">
      <w:marLeft w:val="0"/>
      <w:marRight w:val="0"/>
      <w:marTop w:val="0"/>
      <w:marBottom w:val="0"/>
      <w:divBdr>
        <w:top w:val="none" w:sz="0" w:space="0" w:color="auto"/>
        <w:left w:val="none" w:sz="0" w:space="0" w:color="auto"/>
        <w:bottom w:val="none" w:sz="0" w:space="0" w:color="auto"/>
        <w:right w:val="none" w:sz="0" w:space="0" w:color="auto"/>
      </w:divBdr>
    </w:div>
    <w:div w:id="889418415">
      <w:marLeft w:val="0"/>
      <w:marRight w:val="0"/>
      <w:marTop w:val="0"/>
      <w:marBottom w:val="0"/>
      <w:divBdr>
        <w:top w:val="none" w:sz="0" w:space="0" w:color="auto"/>
        <w:left w:val="none" w:sz="0" w:space="0" w:color="auto"/>
        <w:bottom w:val="none" w:sz="0" w:space="0" w:color="auto"/>
        <w:right w:val="none" w:sz="0" w:space="0" w:color="auto"/>
      </w:divBdr>
    </w:div>
    <w:div w:id="889418416">
      <w:marLeft w:val="0"/>
      <w:marRight w:val="0"/>
      <w:marTop w:val="0"/>
      <w:marBottom w:val="0"/>
      <w:divBdr>
        <w:top w:val="none" w:sz="0" w:space="0" w:color="auto"/>
        <w:left w:val="none" w:sz="0" w:space="0" w:color="auto"/>
        <w:bottom w:val="none" w:sz="0" w:space="0" w:color="auto"/>
        <w:right w:val="none" w:sz="0" w:space="0" w:color="auto"/>
      </w:divBdr>
    </w:div>
    <w:div w:id="889418417">
      <w:marLeft w:val="0"/>
      <w:marRight w:val="0"/>
      <w:marTop w:val="0"/>
      <w:marBottom w:val="0"/>
      <w:divBdr>
        <w:top w:val="none" w:sz="0" w:space="0" w:color="auto"/>
        <w:left w:val="none" w:sz="0" w:space="0" w:color="auto"/>
        <w:bottom w:val="none" w:sz="0" w:space="0" w:color="auto"/>
        <w:right w:val="none" w:sz="0" w:space="0" w:color="auto"/>
      </w:divBdr>
    </w:div>
    <w:div w:id="889418418">
      <w:marLeft w:val="0"/>
      <w:marRight w:val="0"/>
      <w:marTop w:val="0"/>
      <w:marBottom w:val="0"/>
      <w:divBdr>
        <w:top w:val="none" w:sz="0" w:space="0" w:color="auto"/>
        <w:left w:val="none" w:sz="0" w:space="0" w:color="auto"/>
        <w:bottom w:val="none" w:sz="0" w:space="0" w:color="auto"/>
        <w:right w:val="none" w:sz="0" w:space="0" w:color="auto"/>
      </w:divBdr>
    </w:div>
    <w:div w:id="889418419">
      <w:marLeft w:val="0"/>
      <w:marRight w:val="0"/>
      <w:marTop w:val="0"/>
      <w:marBottom w:val="0"/>
      <w:divBdr>
        <w:top w:val="none" w:sz="0" w:space="0" w:color="auto"/>
        <w:left w:val="none" w:sz="0" w:space="0" w:color="auto"/>
        <w:bottom w:val="none" w:sz="0" w:space="0" w:color="auto"/>
        <w:right w:val="none" w:sz="0" w:space="0" w:color="auto"/>
      </w:divBdr>
    </w:div>
    <w:div w:id="889418420">
      <w:marLeft w:val="0"/>
      <w:marRight w:val="0"/>
      <w:marTop w:val="0"/>
      <w:marBottom w:val="0"/>
      <w:divBdr>
        <w:top w:val="none" w:sz="0" w:space="0" w:color="auto"/>
        <w:left w:val="none" w:sz="0" w:space="0" w:color="auto"/>
        <w:bottom w:val="none" w:sz="0" w:space="0" w:color="auto"/>
        <w:right w:val="none" w:sz="0" w:space="0" w:color="auto"/>
      </w:divBdr>
    </w:div>
    <w:div w:id="889418421">
      <w:marLeft w:val="0"/>
      <w:marRight w:val="0"/>
      <w:marTop w:val="0"/>
      <w:marBottom w:val="0"/>
      <w:divBdr>
        <w:top w:val="none" w:sz="0" w:space="0" w:color="auto"/>
        <w:left w:val="none" w:sz="0" w:space="0" w:color="auto"/>
        <w:bottom w:val="none" w:sz="0" w:space="0" w:color="auto"/>
        <w:right w:val="none" w:sz="0" w:space="0" w:color="auto"/>
      </w:divBdr>
    </w:div>
    <w:div w:id="889418422">
      <w:marLeft w:val="0"/>
      <w:marRight w:val="0"/>
      <w:marTop w:val="0"/>
      <w:marBottom w:val="0"/>
      <w:divBdr>
        <w:top w:val="none" w:sz="0" w:space="0" w:color="auto"/>
        <w:left w:val="none" w:sz="0" w:space="0" w:color="auto"/>
        <w:bottom w:val="none" w:sz="0" w:space="0" w:color="auto"/>
        <w:right w:val="none" w:sz="0" w:space="0" w:color="auto"/>
      </w:divBdr>
    </w:div>
    <w:div w:id="889418423">
      <w:marLeft w:val="0"/>
      <w:marRight w:val="0"/>
      <w:marTop w:val="0"/>
      <w:marBottom w:val="0"/>
      <w:divBdr>
        <w:top w:val="none" w:sz="0" w:space="0" w:color="auto"/>
        <w:left w:val="none" w:sz="0" w:space="0" w:color="auto"/>
        <w:bottom w:val="none" w:sz="0" w:space="0" w:color="auto"/>
        <w:right w:val="none" w:sz="0" w:space="0" w:color="auto"/>
      </w:divBdr>
    </w:div>
    <w:div w:id="889418424">
      <w:marLeft w:val="0"/>
      <w:marRight w:val="0"/>
      <w:marTop w:val="0"/>
      <w:marBottom w:val="0"/>
      <w:divBdr>
        <w:top w:val="none" w:sz="0" w:space="0" w:color="auto"/>
        <w:left w:val="none" w:sz="0" w:space="0" w:color="auto"/>
        <w:bottom w:val="none" w:sz="0" w:space="0" w:color="auto"/>
        <w:right w:val="none" w:sz="0" w:space="0" w:color="auto"/>
      </w:divBdr>
    </w:div>
    <w:div w:id="889418425">
      <w:marLeft w:val="0"/>
      <w:marRight w:val="0"/>
      <w:marTop w:val="0"/>
      <w:marBottom w:val="0"/>
      <w:divBdr>
        <w:top w:val="none" w:sz="0" w:space="0" w:color="auto"/>
        <w:left w:val="none" w:sz="0" w:space="0" w:color="auto"/>
        <w:bottom w:val="none" w:sz="0" w:space="0" w:color="auto"/>
        <w:right w:val="none" w:sz="0" w:space="0" w:color="auto"/>
      </w:divBdr>
    </w:div>
    <w:div w:id="889418426">
      <w:marLeft w:val="0"/>
      <w:marRight w:val="0"/>
      <w:marTop w:val="0"/>
      <w:marBottom w:val="0"/>
      <w:divBdr>
        <w:top w:val="none" w:sz="0" w:space="0" w:color="auto"/>
        <w:left w:val="none" w:sz="0" w:space="0" w:color="auto"/>
        <w:bottom w:val="none" w:sz="0" w:space="0" w:color="auto"/>
        <w:right w:val="none" w:sz="0" w:space="0" w:color="auto"/>
      </w:divBdr>
    </w:div>
    <w:div w:id="889418427">
      <w:marLeft w:val="0"/>
      <w:marRight w:val="0"/>
      <w:marTop w:val="0"/>
      <w:marBottom w:val="0"/>
      <w:divBdr>
        <w:top w:val="none" w:sz="0" w:space="0" w:color="auto"/>
        <w:left w:val="none" w:sz="0" w:space="0" w:color="auto"/>
        <w:bottom w:val="none" w:sz="0" w:space="0" w:color="auto"/>
        <w:right w:val="none" w:sz="0" w:space="0" w:color="auto"/>
      </w:divBdr>
    </w:div>
    <w:div w:id="889418428">
      <w:marLeft w:val="0"/>
      <w:marRight w:val="0"/>
      <w:marTop w:val="0"/>
      <w:marBottom w:val="0"/>
      <w:divBdr>
        <w:top w:val="none" w:sz="0" w:space="0" w:color="auto"/>
        <w:left w:val="none" w:sz="0" w:space="0" w:color="auto"/>
        <w:bottom w:val="none" w:sz="0" w:space="0" w:color="auto"/>
        <w:right w:val="none" w:sz="0" w:space="0" w:color="auto"/>
      </w:divBdr>
    </w:div>
    <w:div w:id="889418429">
      <w:marLeft w:val="0"/>
      <w:marRight w:val="0"/>
      <w:marTop w:val="0"/>
      <w:marBottom w:val="0"/>
      <w:divBdr>
        <w:top w:val="none" w:sz="0" w:space="0" w:color="auto"/>
        <w:left w:val="none" w:sz="0" w:space="0" w:color="auto"/>
        <w:bottom w:val="none" w:sz="0" w:space="0" w:color="auto"/>
        <w:right w:val="none" w:sz="0" w:space="0" w:color="auto"/>
      </w:divBdr>
    </w:div>
    <w:div w:id="889418430">
      <w:marLeft w:val="0"/>
      <w:marRight w:val="0"/>
      <w:marTop w:val="0"/>
      <w:marBottom w:val="0"/>
      <w:divBdr>
        <w:top w:val="none" w:sz="0" w:space="0" w:color="auto"/>
        <w:left w:val="none" w:sz="0" w:space="0" w:color="auto"/>
        <w:bottom w:val="none" w:sz="0" w:space="0" w:color="auto"/>
        <w:right w:val="none" w:sz="0" w:space="0" w:color="auto"/>
      </w:divBdr>
    </w:div>
    <w:div w:id="889418431">
      <w:marLeft w:val="0"/>
      <w:marRight w:val="0"/>
      <w:marTop w:val="0"/>
      <w:marBottom w:val="0"/>
      <w:divBdr>
        <w:top w:val="none" w:sz="0" w:space="0" w:color="auto"/>
        <w:left w:val="none" w:sz="0" w:space="0" w:color="auto"/>
        <w:bottom w:val="none" w:sz="0" w:space="0" w:color="auto"/>
        <w:right w:val="none" w:sz="0" w:space="0" w:color="auto"/>
      </w:divBdr>
    </w:div>
    <w:div w:id="889418432">
      <w:marLeft w:val="0"/>
      <w:marRight w:val="0"/>
      <w:marTop w:val="0"/>
      <w:marBottom w:val="0"/>
      <w:divBdr>
        <w:top w:val="none" w:sz="0" w:space="0" w:color="auto"/>
        <w:left w:val="none" w:sz="0" w:space="0" w:color="auto"/>
        <w:bottom w:val="none" w:sz="0" w:space="0" w:color="auto"/>
        <w:right w:val="none" w:sz="0" w:space="0" w:color="auto"/>
      </w:divBdr>
    </w:div>
    <w:div w:id="889418433">
      <w:marLeft w:val="0"/>
      <w:marRight w:val="0"/>
      <w:marTop w:val="0"/>
      <w:marBottom w:val="0"/>
      <w:divBdr>
        <w:top w:val="none" w:sz="0" w:space="0" w:color="auto"/>
        <w:left w:val="none" w:sz="0" w:space="0" w:color="auto"/>
        <w:bottom w:val="none" w:sz="0" w:space="0" w:color="auto"/>
        <w:right w:val="none" w:sz="0" w:space="0" w:color="auto"/>
      </w:divBdr>
    </w:div>
    <w:div w:id="889418434">
      <w:marLeft w:val="0"/>
      <w:marRight w:val="0"/>
      <w:marTop w:val="0"/>
      <w:marBottom w:val="0"/>
      <w:divBdr>
        <w:top w:val="none" w:sz="0" w:space="0" w:color="auto"/>
        <w:left w:val="none" w:sz="0" w:space="0" w:color="auto"/>
        <w:bottom w:val="none" w:sz="0" w:space="0" w:color="auto"/>
        <w:right w:val="none" w:sz="0" w:space="0" w:color="auto"/>
      </w:divBdr>
    </w:div>
    <w:div w:id="889418435">
      <w:marLeft w:val="0"/>
      <w:marRight w:val="0"/>
      <w:marTop w:val="0"/>
      <w:marBottom w:val="0"/>
      <w:divBdr>
        <w:top w:val="none" w:sz="0" w:space="0" w:color="auto"/>
        <w:left w:val="none" w:sz="0" w:space="0" w:color="auto"/>
        <w:bottom w:val="none" w:sz="0" w:space="0" w:color="auto"/>
        <w:right w:val="none" w:sz="0" w:space="0" w:color="auto"/>
      </w:divBdr>
    </w:div>
    <w:div w:id="889418436">
      <w:marLeft w:val="0"/>
      <w:marRight w:val="0"/>
      <w:marTop w:val="0"/>
      <w:marBottom w:val="0"/>
      <w:divBdr>
        <w:top w:val="none" w:sz="0" w:space="0" w:color="auto"/>
        <w:left w:val="none" w:sz="0" w:space="0" w:color="auto"/>
        <w:bottom w:val="none" w:sz="0" w:space="0" w:color="auto"/>
        <w:right w:val="none" w:sz="0" w:space="0" w:color="auto"/>
      </w:divBdr>
    </w:div>
    <w:div w:id="889418437">
      <w:marLeft w:val="0"/>
      <w:marRight w:val="0"/>
      <w:marTop w:val="0"/>
      <w:marBottom w:val="0"/>
      <w:divBdr>
        <w:top w:val="none" w:sz="0" w:space="0" w:color="auto"/>
        <w:left w:val="none" w:sz="0" w:space="0" w:color="auto"/>
        <w:bottom w:val="none" w:sz="0" w:space="0" w:color="auto"/>
        <w:right w:val="none" w:sz="0" w:space="0" w:color="auto"/>
      </w:divBdr>
    </w:div>
    <w:div w:id="889418438">
      <w:marLeft w:val="0"/>
      <w:marRight w:val="0"/>
      <w:marTop w:val="0"/>
      <w:marBottom w:val="0"/>
      <w:divBdr>
        <w:top w:val="none" w:sz="0" w:space="0" w:color="auto"/>
        <w:left w:val="none" w:sz="0" w:space="0" w:color="auto"/>
        <w:bottom w:val="none" w:sz="0" w:space="0" w:color="auto"/>
        <w:right w:val="none" w:sz="0" w:space="0" w:color="auto"/>
      </w:divBdr>
    </w:div>
    <w:div w:id="889418439">
      <w:marLeft w:val="0"/>
      <w:marRight w:val="0"/>
      <w:marTop w:val="0"/>
      <w:marBottom w:val="0"/>
      <w:divBdr>
        <w:top w:val="none" w:sz="0" w:space="0" w:color="auto"/>
        <w:left w:val="none" w:sz="0" w:space="0" w:color="auto"/>
        <w:bottom w:val="none" w:sz="0" w:space="0" w:color="auto"/>
        <w:right w:val="none" w:sz="0" w:space="0" w:color="auto"/>
      </w:divBdr>
    </w:div>
    <w:div w:id="889418440">
      <w:marLeft w:val="0"/>
      <w:marRight w:val="0"/>
      <w:marTop w:val="0"/>
      <w:marBottom w:val="0"/>
      <w:divBdr>
        <w:top w:val="none" w:sz="0" w:space="0" w:color="auto"/>
        <w:left w:val="none" w:sz="0" w:space="0" w:color="auto"/>
        <w:bottom w:val="none" w:sz="0" w:space="0" w:color="auto"/>
        <w:right w:val="none" w:sz="0" w:space="0" w:color="auto"/>
      </w:divBdr>
    </w:div>
    <w:div w:id="889418441">
      <w:marLeft w:val="0"/>
      <w:marRight w:val="0"/>
      <w:marTop w:val="0"/>
      <w:marBottom w:val="0"/>
      <w:divBdr>
        <w:top w:val="none" w:sz="0" w:space="0" w:color="auto"/>
        <w:left w:val="none" w:sz="0" w:space="0" w:color="auto"/>
        <w:bottom w:val="none" w:sz="0" w:space="0" w:color="auto"/>
        <w:right w:val="none" w:sz="0" w:space="0" w:color="auto"/>
      </w:divBdr>
    </w:div>
    <w:div w:id="889418442">
      <w:marLeft w:val="0"/>
      <w:marRight w:val="0"/>
      <w:marTop w:val="0"/>
      <w:marBottom w:val="0"/>
      <w:divBdr>
        <w:top w:val="none" w:sz="0" w:space="0" w:color="auto"/>
        <w:left w:val="none" w:sz="0" w:space="0" w:color="auto"/>
        <w:bottom w:val="none" w:sz="0" w:space="0" w:color="auto"/>
        <w:right w:val="none" w:sz="0" w:space="0" w:color="auto"/>
      </w:divBdr>
    </w:div>
    <w:div w:id="889418443">
      <w:marLeft w:val="0"/>
      <w:marRight w:val="0"/>
      <w:marTop w:val="0"/>
      <w:marBottom w:val="0"/>
      <w:divBdr>
        <w:top w:val="none" w:sz="0" w:space="0" w:color="auto"/>
        <w:left w:val="none" w:sz="0" w:space="0" w:color="auto"/>
        <w:bottom w:val="none" w:sz="0" w:space="0" w:color="auto"/>
        <w:right w:val="none" w:sz="0" w:space="0" w:color="auto"/>
      </w:divBdr>
    </w:div>
    <w:div w:id="889418444">
      <w:marLeft w:val="0"/>
      <w:marRight w:val="0"/>
      <w:marTop w:val="0"/>
      <w:marBottom w:val="0"/>
      <w:divBdr>
        <w:top w:val="none" w:sz="0" w:space="0" w:color="auto"/>
        <w:left w:val="none" w:sz="0" w:space="0" w:color="auto"/>
        <w:bottom w:val="none" w:sz="0" w:space="0" w:color="auto"/>
        <w:right w:val="none" w:sz="0" w:space="0" w:color="auto"/>
      </w:divBdr>
    </w:div>
    <w:div w:id="889418445">
      <w:marLeft w:val="0"/>
      <w:marRight w:val="0"/>
      <w:marTop w:val="0"/>
      <w:marBottom w:val="0"/>
      <w:divBdr>
        <w:top w:val="none" w:sz="0" w:space="0" w:color="auto"/>
        <w:left w:val="none" w:sz="0" w:space="0" w:color="auto"/>
        <w:bottom w:val="none" w:sz="0" w:space="0" w:color="auto"/>
        <w:right w:val="none" w:sz="0" w:space="0" w:color="auto"/>
      </w:divBdr>
    </w:div>
    <w:div w:id="889418446">
      <w:marLeft w:val="0"/>
      <w:marRight w:val="0"/>
      <w:marTop w:val="0"/>
      <w:marBottom w:val="0"/>
      <w:divBdr>
        <w:top w:val="none" w:sz="0" w:space="0" w:color="auto"/>
        <w:left w:val="none" w:sz="0" w:space="0" w:color="auto"/>
        <w:bottom w:val="none" w:sz="0" w:space="0" w:color="auto"/>
        <w:right w:val="none" w:sz="0" w:space="0" w:color="auto"/>
      </w:divBdr>
    </w:div>
    <w:div w:id="889418447">
      <w:marLeft w:val="0"/>
      <w:marRight w:val="0"/>
      <w:marTop w:val="0"/>
      <w:marBottom w:val="0"/>
      <w:divBdr>
        <w:top w:val="none" w:sz="0" w:space="0" w:color="auto"/>
        <w:left w:val="none" w:sz="0" w:space="0" w:color="auto"/>
        <w:bottom w:val="none" w:sz="0" w:space="0" w:color="auto"/>
        <w:right w:val="none" w:sz="0" w:space="0" w:color="auto"/>
      </w:divBdr>
    </w:div>
    <w:div w:id="889418448">
      <w:marLeft w:val="0"/>
      <w:marRight w:val="0"/>
      <w:marTop w:val="0"/>
      <w:marBottom w:val="0"/>
      <w:divBdr>
        <w:top w:val="none" w:sz="0" w:space="0" w:color="auto"/>
        <w:left w:val="none" w:sz="0" w:space="0" w:color="auto"/>
        <w:bottom w:val="none" w:sz="0" w:space="0" w:color="auto"/>
        <w:right w:val="none" w:sz="0" w:space="0" w:color="auto"/>
      </w:divBdr>
    </w:div>
    <w:div w:id="889418449">
      <w:marLeft w:val="0"/>
      <w:marRight w:val="0"/>
      <w:marTop w:val="0"/>
      <w:marBottom w:val="0"/>
      <w:divBdr>
        <w:top w:val="none" w:sz="0" w:space="0" w:color="auto"/>
        <w:left w:val="none" w:sz="0" w:space="0" w:color="auto"/>
        <w:bottom w:val="none" w:sz="0" w:space="0" w:color="auto"/>
        <w:right w:val="none" w:sz="0" w:space="0" w:color="auto"/>
      </w:divBdr>
    </w:div>
    <w:div w:id="889418450">
      <w:marLeft w:val="0"/>
      <w:marRight w:val="0"/>
      <w:marTop w:val="0"/>
      <w:marBottom w:val="0"/>
      <w:divBdr>
        <w:top w:val="none" w:sz="0" w:space="0" w:color="auto"/>
        <w:left w:val="none" w:sz="0" w:space="0" w:color="auto"/>
        <w:bottom w:val="none" w:sz="0" w:space="0" w:color="auto"/>
        <w:right w:val="none" w:sz="0" w:space="0" w:color="auto"/>
      </w:divBdr>
    </w:div>
    <w:div w:id="889418451">
      <w:marLeft w:val="0"/>
      <w:marRight w:val="0"/>
      <w:marTop w:val="0"/>
      <w:marBottom w:val="0"/>
      <w:divBdr>
        <w:top w:val="none" w:sz="0" w:space="0" w:color="auto"/>
        <w:left w:val="none" w:sz="0" w:space="0" w:color="auto"/>
        <w:bottom w:val="none" w:sz="0" w:space="0" w:color="auto"/>
        <w:right w:val="none" w:sz="0" w:space="0" w:color="auto"/>
      </w:divBdr>
    </w:div>
    <w:div w:id="954212167">
      <w:bodyDiv w:val="1"/>
      <w:marLeft w:val="0"/>
      <w:marRight w:val="0"/>
      <w:marTop w:val="0"/>
      <w:marBottom w:val="0"/>
      <w:divBdr>
        <w:top w:val="none" w:sz="0" w:space="0" w:color="auto"/>
        <w:left w:val="none" w:sz="0" w:space="0" w:color="auto"/>
        <w:bottom w:val="none" w:sz="0" w:space="0" w:color="auto"/>
        <w:right w:val="none" w:sz="0" w:space="0" w:color="auto"/>
      </w:divBdr>
    </w:div>
    <w:div w:id="1001933525">
      <w:bodyDiv w:val="1"/>
      <w:marLeft w:val="0"/>
      <w:marRight w:val="0"/>
      <w:marTop w:val="0"/>
      <w:marBottom w:val="0"/>
      <w:divBdr>
        <w:top w:val="none" w:sz="0" w:space="0" w:color="auto"/>
        <w:left w:val="none" w:sz="0" w:space="0" w:color="auto"/>
        <w:bottom w:val="none" w:sz="0" w:space="0" w:color="auto"/>
        <w:right w:val="none" w:sz="0" w:space="0" w:color="auto"/>
      </w:divBdr>
    </w:div>
    <w:div w:id="1383090337">
      <w:bodyDiv w:val="1"/>
      <w:marLeft w:val="0"/>
      <w:marRight w:val="0"/>
      <w:marTop w:val="0"/>
      <w:marBottom w:val="0"/>
      <w:divBdr>
        <w:top w:val="none" w:sz="0" w:space="0" w:color="auto"/>
        <w:left w:val="none" w:sz="0" w:space="0" w:color="auto"/>
        <w:bottom w:val="none" w:sz="0" w:space="0" w:color="auto"/>
        <w:right w:val="none" w:sz="0" w:space="0" w:color="auto"/>
      </w:divBdr>
    </w:div>
    <w:div w:id="1642033815">
      <w:bodyDiv w:val="1"/>
      <w:marLeft w:val="0"/>
      <w:marRight w:val="0"/>
      <w:marTop w:val="0"/>
      <w:marBottom w:val="0"/>
      <w:divBdr>
        <w:top w:val="none" w:sz="0" w:space="0" w:color="auto"/>
        <w:left w:val="none" w:sz="0" w:space="0" w:color="auto"/>
        <w:bottom w:val="none" w:sz="0" w:space="0" w:color="auto"/>
        <w:right w:val="none" w:sz="0" w:space="0" w:color="auto"/>
      </w:divBdr>
    </w:div>
    <w:div w:id="1672373304">
      <w:bodyDiv w:val="1"/>
      <w:marLeft w:val="0"/>
      <w:marRight w:val="0"/>
      <w:marTop w:val="0"/>
      <w:marBottom w:val="0"/>
      <w:divBdr>
        <w:top w:val="none" w:sz="0" w:space="0" w:color="auto"/>
        <w:left w:val="none" w:sz="0" w:space="0" w:color="auto"/>
        <w:bottom w:val="none" w:sz="0" w:space="0" w:color="auto"/>
        <w:right w:val="none" w:sz="0" w:space="0" w:color="auto"/>
      </w:divBdr>
    </w:div>
    <w:div w:id="17455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fundrock.com/policies-and-compliance/sustainability-risks-pai-state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20ABAA061CDC4D83CC21AF470DDCE9" ma:contentTypeVersion="11" ma:contentTypeDescription="Create a new document." ma:contentTypeScope="" ma:versionID="058082e183853a68e44f2256880c0efc">
  <xsd:schema xmlns:xsd="http://www.w3.org/2001/XMLSchema" xmlns:xs="http://www.w3.org/2001/XMLSchema" xmlns:p="http://schemas.microsoft.com/office/2006/metadata/properties" xmlns:ns3="2a788cc1-da57-45a1-baa9-d5e692eb91a6" xmlns:ns4="d1f8bed2-ffa6-4da7-bde3-95c813eff351" targetNamespace="http://schemas.microsoft.com/office/2006/metadata/properties" ma:root="true" ma:fieldsID="3959353eca12b1c391244084ef709b86" ns3:_="" ns4:_="">
    <xsd:import namespace="2a788cc1-da57-45a1-baa9-d5e692eb91a6"/>
    <xsd:import namespace="d1f8bed2-ffa6-4da7-bde3-95c813eff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8cc1-da57-45a1-baa9-d5e692eb91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8bed2-ffa6-4da7-bde3-95c813eff3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64660-00C9-45B6-A88A-2DA8D51103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1D4C0-FBAD-483E-9504-6A6F59B34A49}">
  <ds:schemaRefs>
    <ds:schemaRef ds:uri="http://schemas.openxmlformats.org/officeDocument/2006/bibliography"/>
  </ds:schemaRefs>
</ds:datastoreItem>
</file>

<file path=customXml/itemProps3.xml><?xml version="1.0" encoding="utf-8"?>
<ds:datastoreItem xmlns:ds="http://schemas.openxmlformats.org/officeDocument/2006/customXml" ds:itemID="{C828337D-108F-41DC-9FF0-8D03FD5B2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88cc1-da57-45a1-baa9-d5e692eb91a6"/>
    <ds:schemaRef ds:uri="d1f8bed2-ffa6-4da7-bde3-95c813ef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BA51C-1A81-4FDC-8EB0-06E969FBE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6134</Words>
  <Characters>33573</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dc:creator>
  <cp:keywords/>
  <dc:description/>
  <cp:lastModifiedBy>Arthur Cox LLP</cp:lastModifiedBy>
  <cp:revision>5</cp:revision>
  <cp:lastPrinted>2023-04-14T09:16:00Z</cp:lastPrinted>
  <dcterms:created xsi:type="dcterms:W3CDTF">2024-03-22T09:26:00Z</dcterms:created>
  <dcterms:modified xsi:type="dcterms:W3CDTF">2024-03-26T16:39:00Z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AC#43365007.37</vt:lpwstr>
  </property>
  <property fmtid="{D5CDD505-2E9C-101B-9397-08002B2CF9AE}" pid="3" name="ACDocType">
    <vt:lpwstr>DOCUMENT</vt:lpwstr>
  </property>
  <property fmtid="{D5CDD505-2E9C-101B-9397-08002B2CF9AE}" pid="4" name="ACMatter">
    <vt:lpwstr>GO135/001/</vt:lpwstr>
  </property>
  <property fmtid="{D5CDD505-2E9C-101B-9397-08002B2CF9AE}" pid="5" name="ContentTypeId">
    <vt:lpwstr>0x010100FD20ABAA061CDC4D83CC21AF470DDCE9</vt:lpwstr>
  </property>
</Properties>
</file>