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EB17E" w14:textId="77777777" w:rsidR="00397651" w:rsidRPr="0022671C" w:rsidRDefault="00436159" w:rsidP="00397651">
      <w:pPr>
        <w:jc w:val="center"/>
        <w:rPr>
          <w:rFonts w:ascii="Arial" w:hAnsi="Arial" w:cs="Arial"/>
          <w:szCs w:val="22"/>
          <w:lang w:val="fr-FR"/>
        </w:rPr>
      </w:pPr>
      <w:r w:rsidRPr="0022671C">
        <w:rPr>
          <w:rFonts w:ascii="Arial" w:hAnsi="Arial" w:cs="Arial"/>
          <w:szCs w:val="22"/>
          <w:lang w:val="fr-FR"/>
        </w:rPr>
        <w:t>Pareto SICAV</w:t>
      </w:r>
    </w:p>
    <w:p w14:paraId="717BE159" w14:textId="77777777" w:rsidR="00397651" w:rsidRDefault="00397651" w:rsidP="00397651">
      <w:pPr>
        <w:jc w:val="center"/>
        <w:rPr>
          <w:rFonts w:ascii="Arial" w:hAnsi="Arial" w:cs="Arial"/>
          <w:i/>
          <w:szCs w:val="22"/>
          <w:lang w:val="fr-FR"/>
        </w:rPr>
      </w:pPr>
      <w:proofErr w:type="gramStart"/>
      <w:r w:rsidRPr="0022671C">
        <w:rPr>
          <w:rFonts w:ascii="Arial" w:hAnsi="Arial" w:cs="Arial"/>
          <w:i/>
          <w:szCs w:val="22"/>
          <w:lang w:val="fr-FR"/>
        </w:rPr>
        <w:t>société</w:t>
      </w:r>
      <w:proofErr w:type="gramEnd"/>
      <w:r w:rsidRPr="0022671C">
        <w:rPr>
          <w:rFonts w:ascii="Arial" w:hAnsi="Arial" w:cs="Arial"/>
          <w:i/>
          <w:szCs w:val="22"/>
          <w:lang w:val="fr-FR"/>
        </w:rPr>
        <w:t xml:space="preserve"> d’investissement à capital variable</w:t>
      </w:r>
    </w:p>
    <w:p w14:paraId="3881047A" w14:textId="77777777" w:rsidR="009431B3" w:rsidRPr="009431B3" w:rsidRDefault="009431B3" w:rsidP="009431B3">
      <w:pPr>
        <w:jc w:val="center"/>
        <w:rPr>
          <w:rFonts w:ascii="Arial" w:hAnsi="Arial" w:cs="Arial"/>
          <w:i/>
          <w:szCs w:val="22"/>
          <w:lang w:val="fr-FR"/>
        </w:rPr>
      </w:pPr>
      <w:r w:rsidRPr="009431B3">
        <w:rPr>
          <w:rFonts w:ascii="Arial" w:hAnsi="Arial" w:cs="Arial"/>
          <w:i/>
          <w:szCs w:val="22"/>
          <w:lang w:val="fr-FR"/>
        </w:rPr>
        <w:t>33, rue de Gasperich</w:t>
      </w:r>
    </w:p>
    <w:p w14:paraId="48959183" w14:textId="77777777" w:rsidR="009431B3" w:rsidRPr="009431B3" w:rsidRDefault="009431B3" w:rsidP="009431B3">
      <w:pPr>
        <w:jc w:val="center"/>
        <w:rPr>
          <w:rFonts w:ascii="Arial" w:hAnsi="Arial" w:cs="Arial"/>
          <w:i/>
          <w:szCs w:val="22"/>
          <w:lang w:val="fr-FR"/>
        </w:rPr>
      </w:pPr>
      <w:r w:rsidRPr="009431B3">
        <w:rPr>
          <w:rFonts w:ascii="Arial" w:hAnsi="Arial" w:cs="Arial"/>
          <w:i/>
          <w:szCs w:val="22"/>
          <w:lang w:val="fr-FR"/>
        </w:rPr>
        <w:t>L-5826 Hesperange</w:t>
      </w:r>
    </w:p>
    <w:p w14:paraId="2CFC3C96" w14:textId="77777777" w:rsidR="009431B3" w:rsidRPr="0022671C" w:rsidRDefault="009431B3" w:rsidP="009431B3">
      <w:pPr>
        <w:jc w:val="center"/>
        <w:rPr>
          <w:rFonts w:ascii="Arial" w:hAnsi="Arial" w:cs="Arial"/>
          <w:i/>
          <w:szCs w:val="22"/>
          <w:lang w:val="fr-FR"/>
        </w:rPr>
      </w:pPr>
      <w:r w:rsidRPr="009431B3">
        <w:rPr>
          <w:rFonts w:ascii="Arial" w:hAnsi="Arial" w:cs="Arial"/>
          <w:i/>
          <w:szCs w:val="22"/>
          <w:lang w:val="fr-FR"/>
        </w:rPr>
        <w:t>Grand-</w:t>
      </w:r>
      <w:proofErr w:type="spellStart"/>
      <w:r w:rsidRPr="009431B3">
        <w:rPr>
          <w:rFonts w:ascii="Arial" w:hAnsi="Arial" w:cs="Arial"/>
          <w:i/>
          <w:szCs w:val="22"/>
          <w:lang w:val="fr-FR"/>
        </w:rPr>
        <w:t>Duchy</w:t>
      </w:r>
      <w:proofErr w:type="spellEnd"/>
      <w:r w:rsidRPr="009431B3">
        <w:rPr>
          <w:rFonts w:ascii="Arial" w:hAnsi="Arial" w:cs="Arial"/>
          <w:i/>
          <w:szCs w:val="22"/>
          <w:lang w:val="fr-FR"/>
        </w:rPr>
        <w:t xml:space="preserve"> of Luxembourg</w:t>
      </w:r>
    </w:p>
    <w:p w14:paraId="63AD12D8" w14:textId="77777777" w:rsidR="00397651" w:rsidRPr="003774B9" w:rsidRDefault="00397651" w:rsidP="00DC7982">
      <w:pPr>
        <w:jc w:val="center"/>
        <w:rPr>
          <w:rFonts w:ascii="Arial" w:hAnsi="Arial" w:cs="Arial"/>
          <w:szCs w:val="22"/>
          <w:lang w:val="en-US"/>
        </w:rPr>
      </w:pPr>
      <w:r w:rsidRPr="003774B9">
        <w:rPr>
          <w:rFonts w:ascii="Arial" w:hAnsi="Arial" w:cs="Arial"/>
          <w:szCs w:val="22"/>
          <w:lang w:val="en-US"/>
        </w:rPr>
        <w:t xml:space="preserve">RCS Luxembourg B </w:t>
      </w:r>
      <w:r w:rsidR="00436159" w:rsidRPr="003774B9">
        <w:rPr>
          <w:rFonts w:ascii="Arial" w:hAnsi="Arial" w:cs="Arial"/>
          <w:szCs w:val="22"/>
          <w:lang w:val="en-US"/>
        </w:rPr>
        <w:t>152 898</w:t>
      </w:r>
    </w:p>
    <w:p w14:paraId="01B8C5D5" w14:textId="77777777" w:rsidR="00397651" w:rsidRPr="009431B3" w:rsidRDefault="00D32D1F" w:rsidP="00397651">
      <w:pPr>
        <w:jc w:val="center"/>
        <w:rPr>
          <w:rFonts w:ascii="Arial" w:hAnsi="Arial" w:cs="Arial"/>
          <w:szCs w:val="22"/>
          <w:lang w:val="en-US"/>
        </w:rPr>
      </w:pPr>
      <w:r>
        <w:rPr>
          <w:rFonts w:ascii="Arial" w:hAnsi="Arial" w:cs="Arial"/>
          <w:szCs w:val="22"/>
          <w:lang w:val="en-US"/>
        </w:rPr>
        <w:t>(</w:t>
      </w:r>
      <w:r w:rsidRPr="009431B3">
        <w:rPr>
          <w:rFonts w:ascii="Arial" w:hAnsi="Arial" w:cs="Arial"/>
          <w:szCs w:val="22"/>
          <w:lang w:val="en-US"/>
        </w:rPr>
        <w:t>the "</w:t>
      </w:r>
      <w:r w:rsidR="00B83E10">
        <w:rPr>
          <w:rFonts w:ascii="Arial" w:hAnsi="Arial" w:cs="Arial"/>
          <w:szCs w:val="22"/>
          <w:lang w:val="en-US"/>
        </w:rPr>
        <w:t>Company</w:t>
      </w:r>
      <w:r w:rsidR="00397651" w:rsidRPr="009431B3">
        <w:rPr>
          <w:rFonts w:ascii="Arial" w:hAnsi="Arial" w:cs="Arial"/>
          <w:szCs w:val="22"/>
          <w:lang w:val="en-US"/>
        </w:rPr>
        <w:t>")</w:t>
      </w:r>
    </w:p>
    <w:p w14:paraId="288A3C4B" w14:textId="77777777" w:rsidR="00BA03BC" w:rsidRPr="003774B9" w:rsidRDefault="00BA03BC" w:rsidP="00BA03BC">
      <w:pPr>
        <w:spacing w:line="264" w:lineRule="auto"/>
        <w:jc w:val="both"/>
        <w:rPr>
          <w:rFonts w:ascii="Arial" w:hAnsi="Arial" w:cs="Arial"/>
          <w:szCs w:val="22"/>
          <w:lang w:val="en-US"/>
        </w:rPr>
      </w:pPr>
    </w:p>
    <w:p w14:paraId="5A37E0C3" w14:textId="77777777" w:rsidR="00BA03BC" w:rsidRPr="003774B9" w:rsidRDefault="00BA03BC" w:rsidP="00DC7982">
      <w:pPr>
        <w:pBdr>
          <w:top w:val="single" w:sz="8" w:space="1" w:color="auto"/>
        </w:pBdr>
        <w:spacing w:before="20" w:after="20" w:line="264" w:lineRule="auto"/>
        <w:rPr>
          <w:rFonts w:ascii="Arial" w:hAnsi="Arial" w:cs="Arial"/>
          <w:szCs w:val="22"/>
          <w:lang w:val="en-US"/>
        </w:rPr>
      </w:pPr>
    </w:p>
    <w:p w14:paraId="2CB68FAD" w14:textId="77777777" w:rsidR="00BA03BC" w:rsidRPr="003774B9" w:rsidRDefault="00BA03BC" w:rsidP="009431B3">
      <w:pPr>
        <w:spacing w:before="20" w:after="20" w:line="264" w:lineRule="auto"/>
        <w:jc w:val="center"/>
        <w:rPr>
          <w:rFonts w:ascii="Arial" w:hAnsi="Arial" w:cs="Arial"/>
          <w:b/>
          <w:szCs w:val="22"/>
          <w:lang w:val="en-US"/>
        </w:rPr>
      </w:pPr>
      <w:r w:rsidRPr="003774B9">
        <w:rPr>
          <w:rFonts w:ascii="Arial" w:hAnsi="Arial" w:cs="Arial"/>
          <w:b/>
          <w:szCs w:val="22"/>
          <w:lang w:val="en-US"/>
        </w:rPr>
        <w:t xml:space="preserve">Notice to the shareholders of </w:t>
      </w:r>
    </w:p>
    <w:p w14:paraId="72B2BCD5" w14:textId="77777777" w:rsidR="00BA03BC" w:rsidRPr="003774B9" w:rsidRDefault="004F0E4F" w:rsidP="00BA03BC">
      <w:pPr>
        <w:spacing w:before="20" w:after="20" w:line="264" w:lineRule="auto"/>
        <w:jc w:val="center"/>
        <w:rPr>
          <w:rFonts w:ascii="Arial" w:hAnsi="Arial" w:cs="Arial"/>
          <w:b/>
          <w:szCs w:val="22"/>
          <w:lang w:val="en-US"/>
        </w:rPr>
      </w:pPr>
      <w:r w:rsidRPr="003774B9">
        <w:rPr>
          <w:rFonts w:ascii="Arial" w:hAnsi="Arial" w:cs="Arial"/>
          <w:b/>
          <w:szCs w:val="22"/>
          <w:lang w:val="en-US"/>
        </w:rPr>
        <w:t xml:space="preserve">PARETO SICAV – </w:t>
      </w:r>
      <w:r w:rsidR="00F12FE5" w:rsidRPr="003774B9">
        <w:rPr>
          <w:rFonts w:ascii="Arial" w:hAnsi="Arial" w:cs="Arial"/>
          <w:b/>
          <w:szCs w:val="22"/>
          <w:lang w:val="en-US"/>
        </w:rPr>
        <w:t>PARETO NORDIC C</w:t>
      </w:r>
      <w:r w:rsidR="00320F21" w:rsidRPr="003774B9">
        <w:rPr>
          <w:rFonts w:ascii="Arial" w:hAnsi="Arial" w:cs="Arial"/>
          <w:b/>
          <w:szCs w:val="22"/>
          <w:lang w:val="en-US"/>
        </w:rPr>
        <w:t>ROSS CREDIT</w:t>
      </w:r>
    </w:p>
    <w:p w14:paraId="4E03212D" w14:textId="77777777" w:rsidR="00BA03BC" w:rsidRPr="003774B9" w:rsidRDefault="00BA03BC" w:rsidP="00BA03BC">
      <w:pPr>
        <w:spacing w:before="20" w:after="20" w:line="264" w:lineRule="auto"/>
        <w:jc w:val="center"/>
        <w:rPr>
          <w:rFonts w:ascii="Arial" w:hAnsi="Arial" w:cs="Arial"/>
          <w:b/>
          <w:szCs w:val="22"/>
          <w:lang w:val="en-US"/>
        </w:rPr>
      </w:pPr>
      <w:r w:rsidRPr="003774B9">
        <w:rPr>
          <w:rFonts w:ascii="Arial" w:hAnsi="Arial" w:cs="Arial"/>
          <w:b/>
          <w:szCs w:val="22"/>
          <w:lang w:val="en-US"/>
        </w:rPr>
        <w:t>(the "Sub-Fund")</w:t>
      </w:r>
    </w:p>
    <w:p w14:paraId="691CA778" w14:textId="77777777" w:rsidR="00BA03BC" w:rsidRPr="003774B9" w:rsidRDefault="00BA03BC" w:rsidP="009431B3">
      <w:pPr>
        <w:pBdr>
          <w:bottom w:val="single" w:sz="8" w:space="1" w:color="auto"/>
        </w:pBdr>
        <w:spacing w:before="20" w:after="20" w:line="264" w:lineRule="auto"/>
        <w:rPr>
          <w:rFonts w:ascii="Arial" w:hAnsi="Arial" w:cs="Arial"/>
          <w:szCs w:val="22"/>
          <w:lang w:val="en-US"/>
        </w:rPr>
      </w:pPr>
    </w:p>
    <w:p w14:paraId="0B51848F" w14:textId="77777777" w:rsidR="00262FA8" w:rsidRPr="003774B9" w:rsidRDefault="00262FA8" w:rsidP="00BA03BC">
      <w:pPr>
        <w:spacing w:line="264" w:lineRule="auto"/>
        <w:jc w:val="right"/>
        <w:rPr>
          <w:rFonts w:ascii="Arial" w:hAnsi="Arial" w:cs="Arial"/>
          <w:szCs w:val="22"/>
          <w:lang w:val="en-US"/>
        </w:rPr>
      </w:pPr>
    </w:p>
    <w:p w14:paraId="51570CE2" w14:textId="77777777" w:rsidR="00BA03BC" w:rsidRPr="003774B9" w:rsidRDefault="00225F2E" w:rsidP="00320F21">
      <w:pPr>
        <w:spacing w:line="264" w:lineRule="auto"/>
        <w:ind w:left="5760" w:firstLine="720"/>
        <w:jc w:val="center"/>
        <w:rPr>
          <w:rFonts w:ascii="Arial" w:hAnsi="Arial" w:cs="Arial"/>
          <w:szCs w:val="22"/>
          <w:lang w:val="en-US"/>
        </w:rPr>
      </w:pPr>
      <w:r>
        <w:rPr>
          <w:rFonts w:ascii="Arial" w:hAnsi="Arial" w:cs="Arial"/>
          <w:szCs w:val="22"/>
          <w:lang w:val="en-US"/>
        </w:rPr>
        <w:t>3</w:t>
      </w:r>
      <w:r w:rsidR="003774B9">
        <w:rPr>
          <w:rFonts w:ascii="Arial" w:hAnsi="Arial" w:cs="Arial"/>
          <w:szCs w:val="22"/>
          <w:lang w:val="en-US"/>
        </w:rPr>
        <w:t>0 January 2020</w:t>
      </w:r>
    </w:p>
    <w:p w14:paraId="13961704" w14:textId="77777777" w:rsidR="00BA03BC" w:rsidRPr="003774B9" w:rsidRDefault="00BA03BC" w:rsidP="00BA03BC">
      <w:pPr>
        <w:spacing w:line="264" w:lineRule="auto"/>
        <w:jc w:val="both"/>
        <w:rPr>
          <w:rFonts w:ascii="Arial" w:hAnsi="Arial" w:cs="Arial"/>
          <w:szCs w:val="22"/>
          <w:lang w:val="en-US"/>
        </w:rPr>
      </w:pPr>
    </w:p>
    <w:p w14:paraId="7FFDB0EB" w14:textId="77777777" w:rsidR="00262FA8" w:rsidRPr="003774B9" w:rsidRDefault="00262FA8" w:rsidP="00BA03BC">
      <w:pPr>
        <w:spacing w:line="264" w:lineRule="auto"/>
        <w:jc w:val="both"/>
        <w:rPr>
          <w:rFonts w:ascii="Arial" w:hAnsi="Arial" w:cs="Arial"/>
          <w:szCs w:val="22"/>
          <w:lang w:val="en-US"/>
        </w:rPr>
      </w:pPr>
    </w:p>
    <w:p w14:paraId="4279179D" w14:textId="77777777" w:rsidR="00320F21" w:rsidRPr="002E7EC6" w:rsidRDefault="00320F21" w:rsidP="00320F21">
      <w:pPr>
        <w:spacing w:line="264" w:lineRule="auto"/>
        <w:jc w:val="both"/>
        <w:rPr>
          <w:rFonts w:ascii="Arial" w:hAnsi="Arial" w:cs="Arial"/>
          <w:szCs w:val="22"/>
          <w:lang w:val="en-GB"/>
        </w:rPr>
      </w:pPr>
    </w:p>
    <w:p w14:paraId="3A8BBFC5" w14:textId="77777777" w:rsidR="00320F21" w:rsidRPr="002E7EC6" w:rsidRDefault="00320F21" w:rsidP="00320F21">
      <w:pPr>
        <w:spacing w:line="264" w:lineRule="auto"/>
        <w:jc w:val="both"/>
        <w:rPr>
          <w:rFonts w:ascii="Arial" w:hAnsi="Arial" w:cs="Arial"/>
          <w:szCs w:val="22"/>
          <w:lang w:val="en-GB"/>
        </w:rPr>
      </w:pPr>
      <w:r w:rsidRPr="002E7EC6">
        <w:rPr>
          <w:rFonts w:ascii="Arial" w:hAnsi="Arial" w:cs="Arial"/>
          <w:szCs w:val="22"/>
          <w:lang w:val="en-GB"/>
        </w:rPr>
        <w:t>Dear Shareholder,</w:t>
      </w:r>
    </w:p>
    <w:p w14:paraId="1E48CB53" w14:textId="77777777" w:rsidR="00320F21" w:rsidRPr="002E7EC6" w:rsidRDefault="00320F21" w:rsidP="00320F21">
      <w:pPr>
        <w:spacing w:line="264" w:lineRule="auto"/>
        <w:jc w:val="both"/>
        <w:rPr>
          <w:rFonts w:ascii="Arial" w:hAnsi="Arial" w:cs="Arial"/>
          <w:b/>
          <w:spacing w:val="-2"/>
          <w:szCs w:val="22"/>
          <w:lang w:val="en-GB"/>
        </w:rPr>
      </w:pPr>
    </w:p>
    <w:p w14:paraId="69ACF210" w14:textId="77777777" w:rsidR="00320F21" w:rsidRPr="002E7EC6" w:rsidRDefault="00320F21" w:rsidP="00320F21">
      <w:pPr>
        <w:spacing w:line="264" w:lineRule="auto"/>
        <w:jc w:val="both"/>
        <w:rPr>
          <w:rFonts w:ascii="Arial" w:hAnsi="Arial" w:cs="Arial"/>
          <w:szCs w:val="22"/>
          <w:lang w:val="en-GB"/>
        </w:rPr>
      </w:pPr>
      <w:r w:rsidRPr="002E7EC6">
        <w:rPr>
          <w:rFonts w:ascii="Arial" w:hAnsi="Arial" w:cs="Arial"/>
          <w:szCs w:val="22"/>
          <w:lang w:val="en-GB"/>
        </w:rPr>
        <w:t xml:space="preserve">The board of directors of the Company (the “Board of Directors”) would like to inform the shareholders of the Sub-Fund that in accordance with the provisions of the articles of incorporation and the prospectus of the Company, </w:t>
      </w:r>
      <w:r w:rsidR="00A45E91">
        <w:rPr>
          <w:rFonts w:ascii="Arial" w:hAnsi="Arial" w:cs="Arial"/>
          <w:szCs w:val="22"/>
          <w:lang w:val="en-GB"/>
        </w:rPr>
        <w:t xml:space="preserve">they </w:t>
      </w:r>
      <w:r w:rsidRPr="002E7EC6">
        <w:rPr>
          <w:rFonts w:ascii="Arial" w:hAnsi="Arial" w:cs="Arial"/>
          <w:szCs w:val="22"/>
          <w:lang w:val="en-GB"/>
        </w:rPr>
        <w:t>ha</w:t>
      </w:r>
      <w:r w:rsidR="00A45E91">
        <w:rPr>
          <w:rFonts w:ascii="Arial" w:hAnsi="Arial" w:cs="Arial"/>
          <w:szCs w:val="22"/>
          <w:lang w:val="en-GB"/>
        </w:rPr>
        <w:t>ve</w:t>
      </w:r>
      <w:r w:rsidRPr="002E7EC6">
        <w:rPr>
          <w:rFonts w:ascii="Arial" w:hAnsi="Arial" w:cs="Arial"/>
          <w:szCs w:val="22"/>
          <w:lang w:val="en-GB"/>
        </w:rPr>
        <w:t xml:space="preserve"> decided to </w:t>
      </w:r>
      <w:r w:rsidR="00937674">
        <w:rPr>
          <w:rFonts w:ascii="Arial" w:hAnsi="Arial" w:cs="Arial"/>
          <w:szCs w:val="22"/>
          <w:lang w:val="en-GB"/>
        </w:rPr>
        <w:t xml:space="preserve">approve the </w:t>
      </w:r>
      <w:r w:rsidRPr="002E7EC6">
        <w:rPr>
          <w:rFonts w:ascii="Arial" w:hAnsi="Arial" w:cs="Arial"/>
          <w:szCs w:val="22"/>
          <w:lang w:val="en-GB"/>
        </w:rPr>
        <w:t>merge</w:t>
      </w:r>
      <w:r w:rsidR="00937674">
        <w:rPr>
          <w:rFonts w:ascii="Arial" w:hAnsi="Arial" w:cs="Arial"/>
          <w:szCs w:val="22"/>
          <w:lang w:val="en-GB"/>
        </w:rPr>
        <w:t>r</w:t>
      </w:r>
      <w:r w:rsidRPr="002E7EC6">
        <w:rPr>
          <w:rFonts w:ascii="Arial" w:hAnsi="Arial" w:cs="Arial"/>
          <w:szCs w:val="22"/>
          <w:lang w:val="en-GB"/>
        </w:rPr>
        <w:t xml:space="preserve"> of the Norwegian fund Pareto </w:t>
      </w:r>
      <w:r>
        <w:rPr>
          <w:rFonts w:ascii="Arial" w:hAnsi="Arial" w:cs="Arial"/>
          <w:szCs w:val="22"/>
          <w:lang w:val="en-GB"/>
        </w:rPr>
        <w:t>Hoyrente</w:t>
      </w:r>
      <w:r w:rsidRPr="002E7EC6">
        <w:rPr>
          <w:rFonts w:ascii="Arial" w:hAnsi="Arial" w:cs="Arial"/>
          <w:szCs w:val="22"/>
          <w:lang w:val="en-GB"/>
        </w:rPr>
        <w:t xml:space="preserve"> (the “Merging Fund”) into </w:t>
      </w:r>
      <w:r w:rsidR="00937674">
        <w:rPr>
          <w:rFonts w:ascii="Arial" w:hAnsi="Arial" w:cs="Arial"/>
          <w:szCs w:val="22"/>
          <w:lang w:val="en-GB"/>
        </w:rPr>
        <w:t>t</w:t>
      </w:r>
      <w:r w:rsidR="00847509">
        <w:rPr>
          <w:rFonts w:ascii="Arial" w:hAnsi="Arial" w:cs="Arial"/>
          <w:szCs w:val="22"/>
          <w:lang w:val="en-GB"/>
        </w:rPr>
        <w:t xml:space="preserve">he </w:t>
      </w:r>
      <w:r w:rsidR="00937674">
        <w:rPr>
          <w:rFonts w:ascii="Arial" w:hAnsi="Arial" w:cs="Arial"/>
          <w:szCs w:val="22"/>
          <w:lang w:val="en-GB"/>
        </w:rPr>
        <w:t xml:space="preserve">sub-fund </w:t>
      </w:r>
      <w:r w:rsidRPr="002E7EC6">
        <w:rPr>
          <w:rFonts w:ascii="Arial" w:hAnsi="Arial" w:cs="Arial"/>
          <w:szCs w:val="22"/>
          <w:lang w:val="en-GB"/>
        </w:rPr>
        <w:t>by way of absorption (the “Merger”).</w:t>
      </w:r>
    </w:p>
    <w:p w14:paraId="2ACF3185" w14:textId="77777777" w:rsidR="00937674" w:rsidRDefault="00320F21" w:rsidP="00320F21">
      <w:pPr>
        <w:spacing w:before="100" w:beforeAutospacing="1" w:after="100" w:afterAutospacing="1"/>
        <w:jc w:val="both"/>
        <w:rPr>
          <w:rFonts w:ascii="Arial" w:hAnsi="Arial" w:cs="Arial"/>
          <w:szCs w:val="22"/>
          <w:lang w:val="en-GB"/>
        </w:rPr>
      </w:pPr>
      <w:r w:rsidRPr="002E7EC6">
        <w:rPr>
          <w:rFonts w:ascii="Arial" w:hAnsi="Arial" w:cs="Arial"/>
          <w:szCs w:val="22"/>
          <w:lang w:val="en-GB"/>
        </w:rPr>
        <w:t>This Merger will be done in accordance with article 1, (20) a) a</w:t>
      </w:r>
      <w:r w:rsidR="00937674">
        <w:rPr>
          <w:rFonts w:ascii="Arial" w:hAnsi="Arial" w:cs="Arial"/>
          <w:szCs w:val="22"/>
          <w:lang w:val="en-GB"/>
        </w:rPr>
        <w:t xml:space="preserve">nd </w:t>
      </w:r>
      <w:r w:rsidRPr="002E7EC6">
        <w:rPr>
          <w:rFonts w:ascii="Arial" w:hAnsi="Arial" w:cs="Arial"/>
          <w:szCs w:val="22"/>
          <w:lang w:val="en-GB"/>
        </w:rPr>
        <w:t xml:space="preserve">Chapter 8 of the </w:t>
      </w:r>
      <w:r w:rsidR="00937674">
        <w:rPr>
          <w:rFonts w:ascii="Arial" w:hAnsi="Arial" w:cs="Arial"/>
          <w:szCs w:val="22"/>
          <w:lang w:val="en-GB"/>
        </w:rPr>
        <w:t xml:space="preserve">Luxembourg </w:t>
      </w:r>
      <w:r w:rsidRPr="002E7EC6">
        <w:rPr>
          <w:rFonts w:ascii="Arial" w:hAnsi="Arial" w:cs="Arial"/>
          <w:szCs w:val="22"/>
          <w:lang w:val="en-GB"/>
        </w:rPr>
        <w:t>law of 17 December 2010 (the “Law”)</w:t>
      </w:r>
      <w:r w:rsidR="00937674">
        <w:rPr>
          <w:rFonts w:ascii="Arial" w:hAnsi="Arial" w:cs="Arial"/>
          <w:szCs w:val="22"/>
          <w:lang w:val="en-GB"/>
        </w:rPr>
        <w:t>, as amended.</w:t>
      </w:r>
    </w:p>
    <w:p w14:paraId="69AB8FC2" w14:textId="77777777" w:rsidR="007E411F" w:rsidRPr="002E7EC6" w:rsidRDefault="007E411F" w:rsidP="007E411F">
      <w:pPr>
        <w:spacing w:before="100" w:beforeAutospacing="1" w:after="100" w:afterAutospacing="1"/>
        <w:jc w:val="both"/>
        <w:rPr>
          <w:rFonts w:ascii="Arial" w:hAnsi="Arial" w:cs="Arial"/>
          <w:szCs w:val="22"/>
          <w:lang w:val="en-GB"/>
        </w:rPr>
      </w:pPr>
      <w:r w:rsidRPr="002E7EC6">
        <w:rPr>
          <w:rFonts w:ascii="Arial" w:hAnsi="Arial" w:cs="Arial"/>
          <w:szCs w:val="22"/>
          <w:lang w:val="en-GB"/>
        </w:rPr>
        <w:t xml:space="preserve">This notice describes the Merger between the Merging Fund </w:t>
      </w:r>
      <w:r>
        <w:rPr>
          <w:rFonts w:ascii="Arial" w:hAnsi="Arial" w:cs="Arial"/>
          <w:szCs w:val="22"/>
          <w:lang w:val="en-GB"/>
        </w:rPr>
        <w:t xml:space="preserve">and </w:t>
      </w:r>
      <w:r w:rsidR="00D524CB">
        <w:rPr>
          <w:rFonts w:ascii="Arial" w:hAnsi="Arial" w:cs="Arial"/>
          <w:szCs w:val="22"/>
          <w:lang w:val="en-GB"/>
        </w:rPr>
        <w:t>the Sub-</w:t>
      </w:r>
      <w:r w:rsidRPr="002E7EC6">
        <w:rPr>
          <w:rFonts w:ascii="Arial" w:hAnsi="Arial" w:cs="Arial"/>
          <w:szCs w:val="22"/>
          <w:lang w:val="en-GB"/>
        </w:rPr>
        <w:t xml:space="preserve">Fund. The Merging Fund and the </w:t>
      </w:r>
      <w:r w:rsidR="00D524CB">
        <w:rPr>
          <w:rFonts w:ascii="Arial" w:hAnsi="Arial" w:cs="Arial"/>
          <w:szCs w:val="22"/>
          <w:lang w:val="en-GB"/>
        </w:rPr>
        <w:t>Sub-</w:t>
      </w:r>
      <w:r w:rsidRPr="002E7EC6">
        <w:rPr>
          <w:rFonts w:ascii="Arial" w:hAnsi="Arial" w:cs="Arial"/>
          <w:szCs w:val="22"/>
          <w:lang w:val="en-GB"/>
        </w:rPr>
        <w:t>Fund shall together be referred to as the “Funds”.</w:t>
      </w:r>
    </w:p>
    <w:p w14:paraId="75B6FA83" w14:textId="77777777" w:rsidR="00937674" w:rsidRPr="00937674" w:rsidRDefault="00937674" w:rsidP="00937674">
      <w:pPr>
        <w:spacing w:before="100" w:beforeAutospacing="1" w:after="100" w:afterAutospacing="1"/>
        <w:jc w:val="both"/>
        <w:rPr>
          <w:rFonts w:ascii="Arial" w:hAnsi="Arial" w:cs="Arial"/>
          <w:szCs w:val="22"/>
          <w:lang w:val="en-GB"/>
        </w:rPr>
      </w:pPr>
      <w:r w:rsidRPr="00937674">
        <w:rPr>
          <w:rFonts w:ascii="Arial" w:hAnsi="Arial" w:cs="Arial"/>
          <w:szCs w:val="22"/>
          <w:lang w:val="en-GB"/>
        </w:rPr>
        <w:t xml:space="preserve">The Board </w:t>
      </w:r>
      <w:r w:rsidR="00B903A8">
        <w:rPr>
          <w:rFonts w:ascii="Arial" w:hAnsi="Arial" w:cs="Arial"/>
          <w:szCs w:val="22"/>
          <w:lang w:val="en-GB"/>
        </w:rPr>
        <w:t xml:space="preserve">of Directors </w:t>
      </w:r>
      <w:r w:rsidRPr="00937674">
        <w:rPr>
          <w:rFonts w:ascii="Arial" w:hAnsi="Arial" w:cs="Arial"/>
          <w:szCs w:val="22"/>
          <w:lang w:val="en-GB"/>
        </w:rPr>
        <w:t>approved the Merger following a review of the</w:t>
      </w:r>
      <w:r>
        <w:rPr>
          <w:rFonts w:ascii="Arial" w:hAnsi="Arial" w:cs="Arial"/>
          <w:szCs w:val="22"/>
          <w:lang w:val="en-GB"/>
        </w:rPr>
        <w:t xml:space="preserve"> </w:t>
      </w:r>
      <w:r w:rsidR="007E411F">
        <w:rPr>
          <w:rFonts w:ascii="Arial" w:hAnsi="Arial" w:cs="Arial"/>
          <w:szCs w:val="22"/>
          <w:lang w:val="en-GB"/>
        </w:rPr>
        <w:t>Funds</w:t>
      </w:r>
      <w:r w:rsidRPr="00937674">
        <w:rPr>
          <w:rFonts w:ascii="Arial" w:hAnsi="Arial" w:cs="Arial"/>
          <w:szCs w:val="22"/>
          <w:lang w:val="en-GB"/>
        </w:rPr>
        <w:t xml:space="preserve"> which identified some overlap between the investment policies and the Board</w:t>
      </w:r>
      <w:r w:rsidR="00B903A8">
        <w:rPr>
          <w:rFonts w:ascii="Arial" w:hAnsi="Arial" w:cs="Arial"/>
          <w:szCs w:val="22"/>
          <w:lang w:val="en-GB"/>
        </w:rPr>
        <w:t xml:space="preserve"> of Directors</w:t>
      </w:r>
      <w:r w:rsidRPr="00937674">
        <w:rPr>
          <w:rFonts w:ascii="Arial" w:hAnsi="Arial" w:cs="Arial"/>
          <w:szCs w:val="22"/>
          <w:lang w:val="en-GB"/>
        </w:rPr>
        <w:t xml:space="preserve"> believes that consolidating similar strategies will facilitate furthermore growth in assets</w:t>
      </w:r>
      <w:r w:rsidR="00B903A8">
        <w:rPr>
          <w:rFonts w:ascii="Arial" w:hAnsi="Arial" w:cs="Arial"/>
          <w:szCs w:val="22"/>
          <w:lang w:val="en-GB"/>
        </w:rPr>
        <w:t xml:space="preserve"> of the Sub-Fund</w:t>
      </w:r>
      <w:r w:rsidRPr="00937674">
        <w:rPr>
          <w:rFonts w:ascii="Arial" w:hAnsi="Arial" w:cs="Arial"/>
          <w:szCs w:val="22"/>
          <w:lang w:val="en-GB"/>
        </w:rPr>
        <w:t>.</w:t>
      </w:r>
    </w:p>
    <w:p w14:paraId="07B56928" w14:textId="77777777" w:rsidR="00320F21" w:rsidRPr="002E7EC6" w:rsidRDefault="00937674" w:rsidP="00320F21">
      <w:pPr>
        <w:spacing w:before="100" w:beforeAutospacing="1" w:after="100" w:afterAutospacing="1"/>
        <w:jc w:val="both"/>
        <w:rPr>
          <w:rFonts w:ascii="Arial" w:hAnsi="Arial" w:cs="Arial"/>
          <w:szCs w:val="22"/>
          <w:lang w:val="en-GB"/>
        </w:rPr>
      </w:pPr>
      <w:r>
        <w:rPr>
          <w:rFonts w:ascii="Arial" w:hAnsi="Arial" w:cs="Arial"/>
          <w:szCs w:val="22"/>
          <w:lang w:val="en-GB"/>
        </w:rPr>
        <w:t>T</w:t>
      </w:r>
      <w:r w:rsidR="00320F21" w:rsidRPr="002E7EC6">
        <w:rPr>
          <w:rFonts w:ascii="Arial" w:hAnsi="Arial" w:cs="Arial"/>
          <w:szCs w:val="22"/>
          <w:lang w:val="en-GB"/>
        </w:rPr>
        <w:t xml:space="preserve">he Merger has been approved by the Norwegian financial supervisory authority, </w:t>
      </w:r>
      <w:proofErr w:type="spellStart"/>
      <w:r w:rsidR="00320F21" w:rsidRPr="002E7EC6">
        <w:rPr>
          <w:rFonts w:ascii="Arial" w:hAnsi="Arial" w:cs="Arial"/>
          <w:szCs w:val="22"/>
          <w:lang w:val="en-GB"/>
        </w:rPr>
        <w:t>Finanstilsynet</w:t>
      </w:r>
      <w:proofErr w:type="spellEnd"/>
      <w:r w:rsidR="00320F21" w:rsidRPr="002E7EC6">
        <w:rPr>
          <w:rFonts w:ascii="Arial" w:hAnsi="Arial" w:cs="Arial"/>
          <w:szCs w:val="22"/>
          <w:lang w:val="en-GB"/>
        </w:rPr>
        <w:t>, and the Luxembourg financial supervisory authority, Commission de Surveillance du Secteur Financier.</w:t>
      </w:r>
    </w:p>
    <w:p w14:paraId="558FD6DB" w14:textId="77777777" w:rsidR="00320F21" w:rsidRPr="002E7EC6" w:rsidRDefault="00320F21" w:rsidP="00320F21">
      <w:pPr>
        <w:jc w:val="both"/>
        <w:rPr>
          <w:rFonts w:ascii="Arial" w:hAnsi="Arial" w:cs="Arial"/>
          <w:sz w:val="20"/>
          <w:lang w:val="en-GB"/>
        </w:rPr>
      </w:pPr>
    </w:p>
    <w:p w14:paraId="0A3279A9" w14:textId="77777777" w:rsidR="00320F21" w:rsidRPr="002E7EC6" w:rsidRDefault="00320F21" w:rsidP="00320F21">
      <w:pPr>
        <w:widowControl w:val="0"/>
        <w:numPr>
          <w:ilvl w:val="0"/>
          <w:numId w:val="18"/>
        </w:numPr>
        <w:overflowPunct w:val="0"/>
        <w:autoSpaceDE w:val="0"/>
        <w:autoSpaceDN w:val="0"/>
        <w:adjustRightInd w:val="0"/>
        <w:jc w:val="both"/>
        <w:textAlignment w:val="baseline"/>
        <w:rPr>
          <w:rFonts w:ascii="Arial" w:hAnsi="Arial" w:cs="Arial"/>
          <w:b/>
          <w:bCs/>
          <w:smallCaps/>
          <w:szCs w:val="22"/>
          <w:lang w:val="en-GB"/>
        </w:rPr>
      </w:pPr>
      <w:r w:rsidRPr="002E7EC6">
        <w:rPr>
          <w:rFonts w:ascii="Arial" w:hAnsi="Arial" w:cs="Arial"/>
          <w:b/>
          <w:bCs/>
          <w:smallCaps/>
          <w:szCs w:val="22"/>
          <w:lang w:val="en-GB"/>
        </w:rPr>
        <w:t>GENERAL INFORMATION</w:t>
      </w:r>
    </w:p>
    <w:p w14:paraId="4D7203AA" w14:textId="77777777" w:rsidR="00320F21" w:rsidRPr="002E7EC6" w:rsidRDefault="00937674" w:rsidP="00320F21">
      <w:pPr>
        <w:spacing w:before="100" w:beforeAutospacing="1" w:after="100" w:afterAutospacing="1"/>
        <w:jc w:val="both"/>
        <w:rPr>
          <w:rFonts w:ascii="Arial" w:hAnsi="Arial" w:cs="Arial"/>
          <w:szCs w:val="22"/>
          <w:lang w:val="en-GB"/>
        </w:rPr>
      </w:pPr>
      <w:r>
        <w:rPr>
          <w:rFonts w:ascii="Arial" w:hAnsi="Arial" w:cs="Arial"/>
          <w:szCs w:val="22"/>
          <w:lang w:val="en-GB"/>
        </w:rPr>
        <w:t>The Merging Fund</w:t>
      </w:r>
      <w:r w:rsidR="00320F21" w:rsidRPr="002E7EC6">
        <w:rPr>
          <w:rFonts w:ascii="Arial" w:hAnsi="Arial" w:cs="Arial"/>
          <w:szCs w:val="22"/>
          <w:lang w:val="en-GB"/>
        </w:rPr>
        <w:t xml:space="preserve"> is a common stand-alone fund, managed by Pareto Asset Management AS and set up as an undertaking for collective investments in transferable securities (UCITS) under the laws of Norway, authorised in Norway by the Norwegian financial supervisory authority </w:t>
      </w:r>
      <w:proofErr w:type="spellStart"/>
      <w:r w:rsidR="00320F21" w:rsidRPr="002E7EC6">
        <w:rPr>
          <w:rFonts w:ascii="Arial" w:hAnsi="Arial" w:cs="Arial"/>
          <w:szCs w:val="22"/>
          <w:lang w:val="en-GB"/>
        </w:rPr>
        <w:t>Finanstilsynet</w:t>
      </w:r>
      <w:proofErr w:type="spellEnd"/>
      <w:r w:rsidR="00320F21" w:rsidRPr="002E7EC6">
        <w:rPr>
          <w:rFonts w:ascii="Arial" w:hAnsi="Arial" w:cs="Arial"/>
          <w:szCs w:val="22"/>
          <w:lang w:val="en-GB"/>
        </w:rPr>
        <w:t>.</w:t>
      </w:r>
    </w:p>
    <w:p w14:paraId="2A035E3C" w14:textId="77777777" w:rsidR="00320F21" w:rsidRPr="002E7EC6" w:rsidRDefault="00320F21" w:rsidP="00320F21">
      <w:pPr>
        <w:jc w:val="both"/>
        <w:rPr>
          <w:rFonts w:ascii="Arial" w:hAnsi="Arial" w:cs="Arial"/>
          <w:szCs w:val="22"/>
          <w:lang w:val="en-GB"/>
        </w:rPr>
      </w:pPr>
      <w:r w:rsidRPr="002E7EC6">
        <w:rPr>
          <w:rFonts w:ascii="Arial" w:hAnsi="Arial" w:cs="Arial"/>
          <w:szCs w:val="22"/>
          <w:lang w:val="en-GB"/>
        </w:rPr>
        <w:t xml:space="preserve">Pareto Asset Management AS is acting as investment manager for both </w:t>
      </w:r>
      <w:r w:rsidR="007E411F">
        <w:rPr>
          <w:rFonts w:ascii="Arial" w:hAnsi="Arial" w:cs="Arial"/>
          <w:szCs w:val="22"/>
          <w:lang w:val="en-GB"/>
        </w:rPr>
        <w:t>Funds.</w:t>
      </w:r>
    </w:p>
    <w:p w14:paraId="5E42F697" w14:textId="77777777" w:rsidR="00320F21" w:rsidRPr="002E7EC6" w:rsidRDefault="00320F21" w:rsidP="00320F21">
      <w:pPr>
        <w:jc w:val="both"/>
        <w:rPr>
          <w:rFonts w:ascii="Arial" w:hAnsi="Arial" w:cs="Arial"/>
          <w:sz w:val="20"/>
          <w:lang w:val="en-GB"/>
        </w:rPr>
      </w:pPr>
    </w:p>
    <w:p w14:paraId="49FAF40B" w14:textId="77777777" w:rsidR="00320F21" w:rsidRPr="002E7EC6" w:rsidRDefault="00320F21" w:rsidP="00320F21">
      <w:pPr>
        <w:widowControl w:val="0"/>
        <w:numPr>
          <w:ilvl w:val="0"/>
          <w:numId w:val="18"/>
        </w:numPr>
        <w:overflowPunct w:val="0"/>
        <w:autoSpaceDE w:val="0"/>
        <w:autoSpaceDN w:val="0"/>
        <w:adjustRightInd w:val="0"/>
        <w:jc w:val="both"/>
        <w:textAlignment w:val="baseline"/>
        <w:rPr>
          <w:rFonts w:ascii="Arial" w:hAnsi="Arial" w:cs="Arial"/>
          <w:b/>
          <w:bCs/>
          <w:smallCaps/>
          <w:szCs w:val="22"/>
          <w:lang w:val="en-GB"/>
        </w:rPr>
      </w:pPr>
      <w:r w:rsidRPr="002E7EC6">
        <w:rPr>
          <w:rFonts w:ascii="Arial" w:hAnsi="Arial" w:cs="Arial"/>
          <w:b/>
          <w:bCs/>
          <w:smallCaps/>
          <w:szCs w:val="22"/>
          <w:lang w:val="en-GB"/>
        </w:rPr>
        <w:t>BACKGROUND AND RATIONALE OF THE PROPOSED MERGER</w:t>
      </w:r>
    </w:p>
    <w:p w14:paraId="3B712722" w14:textId="77777777" w:rsidR="00320F21" w:rsidRPr="002E7EC6" w:rsidRDefault="00320F21" w:rsidP="00320F21">
      <w:pPr>
        <w:jc w:val="both"/>
        <w:rPr>
          <w:rFonts w:ascii="Arial" w:hAnsi="Arial" w:cs="Arial"/>
          <w:szCs w:val="22"/>
          <w:lang w:val="en-GB"/>
        </w:rPr>
      </w:pPr>
    </w:p>
    <w:p w14:paraId="7EF714B8" w14:textId="77777777" w:rsidR="00320F21" w:rsidRDefault="00320F21" w:rsidP="00320F21">
      <w:pPr>
        <w:jc w:val="both"/>
        <w:rPr>
          <w:rFonts w:ascii="Arial" w:hAnsi="Arial" w:cs="Arial"/>
          <w:szCs w:val="22"/>
          <w:lang w:val="en-GB"/>
        </w:rPr>
      </w:pPr>
      <w:r w:rsidRPr="002E7EC6">
        <w:rPr>
          <w:rFonts w:ascii="Arial" w:hAnsi="Arial" w:cs="Arial"/>
          <w:szCs w:val="22"/>
          <w:lang w:val="en-GB"/>
        </w:rPr>
        <w:t xml:space="preserve">The Board of Directors </w:t>
      </w:r>
      <w:r w:rsidRPr="007E411F">
        <w:rPr>
          <w:rFonts w:ascii="Arial" w:hAnsi="Arial" w:cs="Arial"/>
          <w:szCs w:val="22"/>
          <w:lang w:val="en-GB"/>
        </w:rPr>
        <w:t xml:space="preserve">and </w:t>
      </w:r>
      <w:r w:rsidR="007E411F" w:rsidRPr="007E411F">
        <w:rPr>
          <w:rFonts w:ascii="Arial" w:hAnsi="Arial" w:cs="Arial"/>
          <w:szCs w:val="22"/>
          <w:lang w:val="en-GB"/>
        </w:rPr>
        <w:t>Pareto Asset Management AS, the Management Company</w:t>
      </w:r>
      <w:r w:rsidR="007E411F">
        <w:rPr>
          <w:rFonts w:ascii="Arial" w:hAnsi="Arial" w:cs="Arial"/>
          <w:szCs w:val="22"/>
          <w:highlight w:val="yellow"/>
          <w:lang w:val="en-GB"/>
        </w:rPr>
        <w:t xml:space="preserve"> </w:t>
      </w:r>
      <w:r w:rsidR="007E411F" w:rsidRPr="007E411F">
        <w:rPr>
          <w:rFonts w:ascii="Arial" w:hAnsi="Arial" w:cs="Arial"/>
          <w:szCs w:val="22"/>
          <w:lang w:val="en-GB"/>
        </w:rPr>
        <w:t xml:space="preserve">of the </w:t>
      </w:r>
      <w:r w:rsidRPr="007E411F">
        <w:rPr>
          <w:rFonts w:ascii="Arial" w:hAnsi="Arial" w:cs="Arial"/>
          <w:szCs w:val="22"/>
          <w:lang w:val="en-GB"/>
        </w:rPr>
        <w:t>Merging Fund</w:t>
      </w:r>
      <w:r w:rsidR="00B903A8">
        <w:rPr>
          <w:rFonts w:ascii="Arial" w:hAnsi="Arial" w:cs="Arial"/>
          <w:szCs w:val="22"/>
          <w:lang w:val="en-GB"/>
        </w:rPr>
        <w:t>,</w:t>
      </w:r>
      <w:r w:rsidRPr="007E411F">
        <w:rPr>
          <w:rFonts w:ascii="Arial" w:hAnsi="Arial" w:cs="Arial"/>
          <w:szCs w:val="22"/>
          <w:lang w:val="en-GB"/>
        </w:rPr>
        <w:t xml:space="preserve"> believe</w:t>
      </w:r>
      <w:r w:rsidRPr="002E7EC6">
        <w:rPr>
          <w:rFonts w:ascii="Arial" w:hAnsi="Arial" w:cs="Arial"/>
          <w:szCs w:val="22"/>
          <w:lang w:val="en-GB"/>
        </w:rPr>
        <w:t xml:space="preserve"> that the proposed Merger will provide more efficient portfolio management of the Funds, as the two Funds currently follow </w:t>
      </w:r>
      <w:r w:rsidR="00CD4A1E">
        <w:rPr>
          <w:rFonts w:ascii="Arial" w:hAnsi="Arial" w:cs="Arial"/>
          <w:szCs w:val="22"/>
          <w:lang w:val="en-GB"/>
        </w:rPr>
        <w:t>a similar</w:t>
      </w:r>
      <w:r w:rsidRPr="002E7EC6">
        <w:rPr>
          <w:rFonts w:ascii="Arial" w:hAnsi="Arial" w:cs="Arial"/>
          <w:szCs w:val="22"/>
          <w:lang w:val="en-GB"/>
        </w:rPr>
        <w:t xml:space="preserve"> investment policy. In addition, it is expected that the Merging Fund will benefit from the </w:t>
      </w:r>
      <w:r w:rsidRPr="002E7EC6">
        <w:rPr>
          <w:rFonts w:ascii="Arial" w:hAnsi="Arial" w:cs="Arial"/>
          <w:szCs w:val="22"/>
          <w:lang w:val="en-GB"/>
        </w:rPr>
        <w:lastRenderedPageBreak/>
        <w:t xml:space="preserve">enhanced distribution channels available through the Company which may enable the </w:t>
      </w:r>
      <w:r w:rsidR="00A45E91">
        <w:rPr>
          <w:rFonts w:ascii="Arial" w:hAnsi="Arial" w:cs="Arial"/>
          <w:szCs w:val="22"/>
          <w:lang w:val="en-GB"/>
        </w:rPr>
        <w:t>Sub-</w:t>
      </w:r>
      <w:r w:rsidRPr="002E7EC6">
        <w:rPr>
          <w:rFonts w:ascii="Arial" w:hAnsi="Arial" w:cs="Arial"/>
          <w:szCs w:val="22"/>
          <w:lang w:val="en-GB"/>
        </w:rPr>
        <w:t>Fund to increase its assets under management.</w:t>
      </w:r>
    </w:p>
    <w:p w14:paraId="67E2E116" w14:textId="77777777" w:rsidR="00C17732" w:rsidRPr="002E7EC6" w:rsidRDefault="00C17732" w:rsidP="00320F21">
      <w:pPr>
        <w:jc w:val="both"/>
        <w:rPr>
          <w:rFonts w:ascii="Arial" w:hAnsi="Arial" w:cs="Arial"/>
          <w:szCs w:val="22"/>
          <w:lang w:val="en-GB"/>
        </w:rPr>
      </w:pPr>
    </w:p>
    <w:p w14:paraId="05E1E7C8" w14:textId="77777777" w:rsidR="00C17732" w:rsidRPr="00847509" w:rsidRDefault="00C17732" w:rsidP="00C17732">
      <w:pPr>
        <w:widowControl w:val="0"/>
        <w:autoSpaceDE w:val="0"/>
        <w:autoSpaceDN w:val="0"/>
        <w:adjustRightInd w:val="0"/>
        <w:jc w:val="both"/>
        <w:rPr>
          <w:rFonts w:ascii="Arial" w:hAnsi="Arial" w:cs="Arial"/>
          <w:szCs w:val="22"/>
          <w:lang w:val="en-GB"/>
        </w:rPr>
      </w:pPr>
      <w:r w:rsidRPr="00847509">
        <w:rPr>
          <w:rFonts w:ascii="Arial" w:hAnsi="Arial" w:cs="Arial"/>
          <w:szCs w:val="22"/>
          <w:lang w:val="en-GB"/>
        </w:rPr>
        <w:t>It is not expected that the Merger will have any negative consequences for the shareholders of the Sub-Fund and the Board</w:t>
      </w:r>
      <w:r w:rsidR="00B903A8">
        <w:rPr>
          <w:rFonts w:ascii="Arial" w:hAnsi="Arial" w:cs="Arial"/>
          <w:szCs w:val="22"/>
          <w:lang w:val="en-GB"/>
        </w:rPr>
        <w:t xml:space="preserve"> of Directors</w:t>
      </w:r>
      <w:r w:rsidRPr="00847509">
        <w:rPr>
          <w:rFonts w:ascii="Arial" w:hAnsi="Arial" w:cs="Arial"/>
          <w:szCs w:val="22"/>
          <w:lang w:val="en-GB"/>
        </w:rPr>
        <w:t xml:space="preserve"> believes that the shareholders of the Sub-Fund will benefit from the increased assets under management following the Merger.</w:t>
      </w:r>
    </w:p>
    <w:p w14:paraId="46858E84" w14:textId="77777777" w:rsidR="00C17732" w:rsidRPr="00847509" w:rsidRDefault="00C17732" w:rsidP="00C17732">
      <w:pPr>
        <w:jc w:val="both"/>
        <w:rPr>
          <w:rFonts w:ascii="Arial" w:hAnsi="Arial" w:cs="Arial"/>
          <w:szCs w:val="22"/>
          <w:lang w:val="en-GB"/>
        </w:rPr>
      </w:pPr>
    </w:p>
    <w:p w14:paraId="0CB933E6" w14:textId="77777777" w:rsidR="00C17732" w:rsidRPr="00847509" w:rsidRDefault="00C17732" w:rsidP="00C17732">
      <w:pPr>
        <w:widowControl w:val="0"/>
        <w:autoSpaceDE w:val="0"/>
        <w:autoSpaceDN w:val="0"/>
        <w:adjustRightInd w:val="0"/>
        <w:jc w:val="both"/>
        <w:rPr>
          <w:rFonts w:ascii="Arial" w:hAnsi="Arial" w:cs="Arial"/>
          <w:szCs w:val="22"/>
          <w:lang w:val="en-GB"/>
        </w:rPr>
      </w:pPr>
      <w:r w:rsidRPr="00847509">
        <w:rPr>
          <w:rFonts w:ascii="Arial" w:hAnsi="Arial" w:cs="Arial"/>
          <w:szCs w:val="22"/>
          <w:lang w:val="en-GB"/>
        </w:rPr>
        <w:t xml:space="preserve">This Merger: </w:t>
      </w:r>
    </w:p>
    <w:p w14:paraId="3808BF25" w14:textId="77777777" w:rsidR="00C17732" w:rsidRPr="00847509" w:rsidRDefault="00C17732" w:rsidP="00C17732">
      <w:pPr>
        <w:widowControl w:val="0"/>
        <w:autoSpaceDE w:val="0"/>
        <w:autoSpaceDN w:val="0"/>
        <w:adjustRightInd w:val="0"/>
        <w:jc w:val="both"/>
        <w:rPr>
          <w:rFonts w:ascii="Arial" w:hAnsi="Arial" w:cs="Arial"/>
          <w:szCs w:val="22"/>
          <w:lang w:val="en-GB"/>
        </w:rPr>
      </w:pPr>
    </w:p>
    <w:p w14:paraId="4299B7F2" w14:textId="77777777" w:rsidR="00C17732" w:rsidRPr="00847509" w:rsidRDefault="00C17732" w:rsidP="00C17732">
      <w:pPr>
        <w:pStyle w:val="ListParagraph"/>
        <w:widowControl w:val="0"/>
        <w:numPr>
          <w:ilvl w:val="0"/>
          <w:numId w:val="21"/>
        </w:numPr>
        <w:jc w:val="both"/>
        <w:rPr>
          <w:rFonts w:ascii="Arial" w:hAnsi="Arial" w:cs="Arial"/>
          <w:sz w:val="22"/>
          <w:szCs w:val="22"/>
          <w:lang w:val="en-GB"/>
        </w:rPr>
      </w:pPr>
      <w:r w:rsidRPr="00847509">
        <w:rPr>
          <w:rFonts w:ascii="Arial" w:hAnsi="Arial" w:cs="Arial"/>
          <w:sz w:val="22"/>
          <w:szCs w:val="22"/>
          <w:lang w:val="en-GB"/>
        </w:rPr>
        <w:t>will not affect the value of your fund investment.</w:t>
      </w:r>
    </w:p>
    <w:p w14:paraId="1E32A006" w14:textId="77777777" w:rsidR="00C17732" w:rsidRPr="00847509" w:rsidRDefault="00C17732" w:rsidP="00C17732">
      <w:pPr>
        <w:pStyle w:val="ListParagraph"/>
        <w:widowControl w:val="0"/>
        <w:numPr>
          <w:ilvl w:val="0"/>
          <w:numId w:val="21"/>
        </w:numPr>
        <w:jc w:val="both"/>
        <w:rPr>
          <w:rFonts w:ascii="Arial" w:hAnsi="Arial" w:cs="Arial"/>
          <w:sz w:val="22"/>
          <w:szCs w:val="22"/>
          <w:lang w:val="en-GB"/>
        </w:rPr>
      </w:pPr>
      <w:r w:rsidRPr="00847509">
        <w:rPr>
          <w:rFonts w:ascii="Arial" w:hAnsi="Arial" w:cs="Arial"/>
          <w:sz w:val="22"/>
          <w:szCs w:val="22"/>
          <w:lang w:val="en-GB"/>
        </w:rPr>
        <w:t>will involve no costs or tax consequences for you.</w:t>
      </w:r>
    </w:p>
    <w:p w14:paraId="1731C93E" w14:textId="77777777" w:rsidR="00C17732" w:rsidRPr="00847509" w:rsidRDefault="00C17732" w:rsidP="00C17732">
      <w:pPr>
        <w:pStyle w:val="ListParagraph"/>
        <w:widowControl w:val="0"/>
        <w:numPr>
          <w:ilvl w:val="0"/>
          <w:numId w:val="21"/>
        </w:numPr>
        <w:jc w:val="both"/>
        <w:rPr>
          <w:rFonts w:ascii="Arial" w:hAnsi="Arial" w:cs="Arial"/>
          <w:sz w:val="22"/>
          <w:szCs w:val="22"/>
          <w:lang w:val="en-GB"/>
        </w:rPr>
      </w:pPr>
      <w:r w:rsidRPr="00847509">
        <w:rPr>
          <w:rFonts w:ascii="Arial" w:hAnsi="Arial" w:cs="Arial"/>
          <w:sz w:val="22"/>
          <w:szCs w:val="22"/>
          <w:lang w:val="en-GB"/>
        </w:rPr>
        <w:t xml:space="preserve">will not change the </w:t>
      </w:r>
      <w:r w:rsidRPr="00847509">
        <w:rPr>
          <w:rFonts w:ascii="Arial" w:hAnsi="Arial" w:cs="Arial"/>
          <w:sz w:val="22"/>
          <w:szCs w:val="22"/>
          <w:lang w:val="en-GB" w:eastAsia="en-US"/>
        </w:rPr>
        <w:t>Sub-Fund</w:t>
      </w:r>
      <w:r w:rsidRPr="00847509">
        <w:rPr>
          <w:rFonts w:ascii="Arial" w:hAnsi="Arial" w:cs="Arial"/>
          <w:sz w:val="22"/>
          <w:szCs w:val="22"/>
          <w:lang w:val="en-GB"/>
        </w:rPr>
        <w:t>´s objectives, investment policy or investment strategy.</w:t>
      </w:r>
    </w:p>
    <w:p w14:paraId="6C0218CD" w14:textId="77777777" w:rsidR="00C17732" w:rsidRPr="00847509" w:rsidRDefault="00C17732" w:rsidP="00C17732">
      <w:pPr>
        <w:pStyle w:val="ListParagraph"/>
        <w:widowControl w:val="0"/>
        <w:numPr>
          <w:ilvl w:val="0"/>
          <w:numId w:val="21"/>
        </w:numPr>
        <w:jc w:val="both"/>
        <w:rPr>
          <w:rFonts w:ascii="Arial" w:hAnsi="Arial" w:cs="Arial"/>
          <w:sz w:val="22"/>
          <w:szCs w:val="22"/>
          <w:lang w:val="en-GB"/>
        </w:rPr>
      </w:pPr>
      <w:r w:rsidRPr="00847509">
        <w:rPr>
          <w:rFonts w:ascii="Arial" w:hAnsi="Arial" w:cs="Arial"/>
          <w:sz w:val="22"/>
          <w:szCs w:val="22"/>
          <w:lang w:val="en-GB"/>
        </w:rPr>
        <w:t xml:space="preserve">will not cause any change in fees for the </w:t>
      </w:r>
      <w:r w:rsidRPr="00847509">
        <w:rPr>
          <w:rFonts w:ascii="Arial" w:hAnsi="Arial" w:cs="Arial"/>
          <w:sz w:val="22"/>
          <w:szCs w:val="22"/>
          <w:lang w:val="en-GB" w:eastAsia="en-US"/>
        </w:rPr>
        <w:t>Sub-Fund.</w:t>
      </w:r>
    </w:p>
    <w:p w14:paraId="277E630A" w14:textId="77777777" w:rsidR="00C17732" w:rsidRPr="00847509" w:rsidRDefault="00C17732" w:rsidP="00C17732">
      <w:pPr>
        <w:pStyle w:val="ListParagraph"/>
        <w:widowControl w:val="0"/>
        <w:numPr>
          <w:ilvl w:val="0"/>
          <w:numId w:val="21"/>
        </w:numPr>
        <w:jc w:val="both"/>
        <w:rPr>
          <w:rFonts w:ascii="Arial" w:hAnsi="Arial" w:cs="Arial"/>
          <w:sz w:val="22"/>
          <w:szCs w:val="22"/>
          <w:lang w:val="en-GB"/>
        </w:rPr>
      </w:pPr>
      <w:r w:rsidRPr="00847509">
        <w:rPr>
          <w:rFonts w:ascii="Arial" w:hAnsi="Arial" w:cs="Arial"/>
          <w:sz w:val="22"/>
          <w:szCs w:val="22"/>
          <w:lang w:val="en-GB"/>
        </w:rPr>
        <w:t xml:space="preserve">will not change the risk profile of the </w:t>
      </w:r>
      <w:r w:rsidRPr="00847509">
        <w:rPr>
          <w:rFonts w:ascii="Arial" w:hAnsi="Arial" w:cs="Arial"/>
          <w:sz w:val="22"/>
          <w:szCs w:val="22"/>
          <w:lang w:val="en-GB" w:eastAsia="en-US"/>
        </w:rPr>
        <w:t>Sub-Fund</w:t>
      </w:r>
      <w:r w:rsidRPr="00847509">
        <w:rPr>
          <w:rFonts w:ascii="Arial" w:hAnsi="Arial" w:cs="Arial"/>
          <w:sz w:val="22"/>
          <w:szCs w:val="22"/>
          <w:lang w:val="en-GB"/>
        </w:rPr>
        <w:t>.</w:t>
      </w:r>
    </w:p>
    <w:p w14:paraId="36AA4622" w14:textId="77777777" w:rsidR="00C17732" w:rsidRPr="00847509" w:rsidRDefault="00C17732" w:rsidP="00C17732">
      <w:pPr>
        <w:pStyle w:val="ListParagraph"/>
        <w:widowControl w:val="0"/>
        <w:numPr>
          <w:ilvl w:val="0"/>
          <w:numId w:val="21"/>
        </w:numPr>
        <w:jc w:val="both"/>
        <w:rPr>
          <w:rFonts w:ascii="Arial" w:hAnsi="Arial" w:cs="Arial"/>
          <w:sz w:val="22"/>
          <w:szCs w:val="22"/>
          <w:lang w:val="en-GB"/>
        </w:rPr>
      </w:pPr>
      <w:r w:rsidRPr="00847509">
        <w:rPr>
          <w:rFonts w:ascii="Arial" w:hAnsi="Arial" w:cs="Arial"/>
          <w:sz w:val="22"/>
          <w:szCs w:val="22"/>
          <w:lang w:val="en-GB"/>
        </w:rPr>
        <w:t xml:space="preserve">will not have any effect on the </w:t>
      </w:r>
      <w:r w:rsidRPr="00847509">
        <w:rPr>
          <w:rFonts w:ascii="Arial" w:hAnsi="Arial" w:cs="Arial"/>
          <w:sz w:val="22"/>
          <w:szCs w:val="22"/>
          <w:lang w:val="en-GB" w:eastAsia="en-US"/>
        </w:rPr>
        <w:t>Sub-Fund</w:t>
      </w:r>
      <w:r w:rsidRPr="00847509">
        <w:rPr>
          <w:rFonts w:ascii="Arial" w:hAnsi="Arial" w:cs="Arial"/>
          <w:sz w:val="22"/>
          <w:szCs w:val="22"/>
          <w:lang w:val="en-GB"/>
        </w:rPr>
        <w:t>'s composition of assets.</w:t>
      </w:r>
    </w:p>
    <w:p w14:paraId="3D51557A" w14:textId="77777777" w:rsidR="00320F21" w:rsidRDefault="00320F21" w:rsidP="00320F21">
      <w:pPr>
        <w:jc w:val="both"/>
        <w:rPr>
          <w:rFonts w:ascii="Arial" w:hAnsi="Arial" w:cs="Arial"/>
          <w:sz w:val="20"/>
          <w:lang w:val="en-GB"/>
        </w:rPr>
      </w:pPr>
    </w:p>
    <w:p w14:paraId="7448FBF7" w14:textId="77777777" w:rsidR="00C17732" w:rsidRPr="002E7EC6" w:rsidRDefault="00C17732" w:rsidP="00320F21">
      <w:pPr>
        <w:jc w:val="both"/>
        <w:rPr>
          <w:rFonts w:ascii="Arial" w:hAnsi="Arial" w:cs="Arial"/>
          <w:sz w:val="20"/>
          <w:lang w:val="en-GB"/>
        </w:rPr>
      </w:pPr>
    </w:p>
    <w:p w14:paraId="2EF719FC" w14:textId="77777777" w:rsidR="00320F21" w:rsidRPr="002E7EC6" w:rsidRDefault="00320F21" w:rsidP="00320F21">
      <w:pPr>
        <w:widowControl w:val="0"/>
        <w:numPr>
          <w:ilvl w:val="0"/>
          <w:numId w:val="18"/>
        </w:numPr>
        <w:overflowPunct w:val="0"/>
        <w:autoSpaceDE w:val="0"/>
        <w:autoSpaceDN w:val="0"/>
        <w:adjustRightInd w:val="0"/>
        <w:jc w:val="both"/>
        <w:textAlignment w:val="baseline"/>
        <w:rPr>
          <w:rFonts w:ascii="Arial" w:hAnsi="Arial" w:cs="Arial"/>
          <w:b/>
          <w:bCs/>
          <w:smallCaps/>
          <w:szCs w:val="22"/>
          <w:lang w:val="en-GB"/>
        </w:rPr>
      </w:pPr>
      <w:r w:rsidRPr="002E7EC6">
        <w:rPr>
          <w:rFonts w:ascii="Arial" w:hAnsi="Arial" w:cs="Arial"/>
          <w:b/>
          <w:bCs/>
          <w:smallCaps/>
          <w:szCs w:val="22"/>
          <w:lang w:val="en-GB"/>
        </w:rPr>
        <w:t>TIMETABLE AND DATE OF THE PROPOSED MERGER</w:t>
      </w:r>
    </w:p>
    <w:p w14:paraId="58AC97B6" w14:textId="5B20E732" w:rsidR="00320F21" w:rsidRPr="002E7EC6" w:rsidRDefault="00320F21" w:rsidP="00320F21">
      <w:pPr>
        <w:spacing w:before="100" w:beforeAutospacing="1" w:after="100" w:afterAutospacing="1"/>
        <w:jc w:val="both"/>
        <w:rPr>
          <w:rFonts w:ascii="Arial" w:hAnsi="Arial" w:cs="Arial"/>
          <w:szCs w:val="22"/>
          <w:lang w:val="en-GB"/>
        </w:rPr>
      </w:pPr>
      <w:r w:rsidRPr="002E7EC6">
        <w:rPr>
          <w:rFonts w:ascii="Arial" w:hAnsi="Arial" w:cs="Arial"/>
          <w:szCs w:val="22"/>
          <w:lang w:val="en-GB"/>
        </w:rPr>
        <w:t xml:space="preserve">The Merger shall become effective and final between the Funds as of </w:t>
      </w:r>
      <w:r w:rsidR="00E424E6">
        <w:rPr>
          <w:rFonts w:ascii="Arial" w:hAnsi="Arial" w:cs="Arial"/>
          <w:szCs w:val="22"/>
          <w:lang w:val="en-GB"/>
        </w:rPr>
        <w:t>9</w:t>
      </w:r>
      <w:r w:rsidR="00847509">
        <w:rPr>
          <w:rFonts w:ascii="Arial" w:hAnsi="Arial" w:cs="Arial"/>
          <w:szCs w:val="22"/>
          <w:lang w:val="en-GB"/>
        </w:rPr>
        <w:t xml:space="preserve"> </w:t>
      </w:r>
      <w:r w:rsidR="00E424E6">
        <w:rPr>
          <w:rFonts w:ascii="Arial" w:hAnsi="Arial" w:cs="Arial"/>
          <w:szCs w:val="22"/>
          <w:lang w:val="en-GB"/>
        </w:rPr>
        <w:t>March</w:t>
      </w:r>
      <w:r w:rsidR="00847509">
        <w:rPr>
          <w:rFonts w:ascii="Arial" w:hAnsi="Arial" w:cs="Arial"/>
          <w:szCs w:val="22"/>
          <w:lang w:val="en-GB"/>
        </w:rPr>
        <w:t xml:space="preserve"> </w:t>
      </w:r>
      <w:r w:rsidRPr="002E7EC6">
        <w:rPr>
          <w:rFonts w:ascii="Arial" w:hAnsi="Arial" w:cs="Arial"/>
          <w:szCs w:val="22"/>
          <w:lang w:val="en-GB"/>
        </w:rPr>
        <w:t>20</w:t>
      </w:r>
      <w:r w:rsidR="00E424E6">
        <w:rPr>
          <w:rFonts w:ascii="Arial" w:hAnsi="Arial" w:cs="Arial"/>
          <w:szCs w:val="22"/>
          <w:lang w:val="en-GB"/>
        </w:rPr>
        <w:t>20</w:t>
      </w:r>
      <w:r w:rsidRPr="002E7EC6">
        <w:rPr>
          <w:rFonts w:ascii="Arial" w:hAnsi="Arial" w:cs="Arial"/>
          <w:szCs w:val="22"/>
          <w:lang w:val="en-GB"/>
        </w:rPr>
        <w:t xml:space="preserve"> (the “Effective Date”). </w:t>
      </w:r>
    </w:p>
    <w:p w14:paraId="7044FFAD" w14:textId="77777777" w:rsidR="00320F21" w:rsidRPr="002E7EC6" w:rsidRDefault="00320F21" w:rsidP="00320F21">
      <w:pPr>
        <w:tabs>
          <w:tab w:val="left" w:pos="0"/>
        </w:tabs>
        <w:overflowPunct w:val="0"/>
        <w:autoSpaceDE w:val="0"/>
        <w:autoSpaceDN w:val="0"/>
        <w:adjustRightInd w:val="0"/>
        <w:jc w:val="both"/>
        <w:textAlignment w:val="baseline"/>
        <w:rPr>
          <w:rFonts w:ascii="Arial" w:hAnsi="Arial" w:cs="Arial"/>
          <w:szCs w:val="22"/>
          <w:lang w:val="en-GB"/>
        </w:rPr>
      </w:pPr>
      <w:r w:rsidRPr="002E7EC6">
        <w:rPr>
          <w:rFonts w:ascii="Arial" w:hAnsi="Arial" w:cs="Arial"/>
          <w:szCs w:val="22"/>
          <w:lang w:val="en-GB"/>
        </w:rPr>
        <w:t>The Merger will take place in accordance with the timetable detailed below:</w:t>
      </w:r>
    </w:p>
    <w:p w14:paraId="22117288" w14:textId="77777777" w:rsidR="00320F21" w:rsidRPr="002E7EC6" w:rsidRDefault="00320F21" w:rsidP="00320F21">
      <w:pPr>
        <w:tabs>
          <w:tab w:val="left" w:pos="0"/>
        </w:tabs>
        <w:overflowPunct w:val="0"/>
        <w:autoSpaceDE w:val="0"/>
        <w:autoSpaceDN w:val="0"/>
        <w:adjustRightInd w:val="0"/>
        <w:jc w:val="both"/>
        <w:textAlignment w:val="baseline"/>
        <w:rPr>
          <w:rFonts w:ascii="Arial" w:hAnsi="Arial" w:cs="Arial"/>
          <w:szCs w:val="22"/>
          <w:lang w:val="en-GB"/>
        </w:rPr>
      </w:pPr>
    </w:p>
    <w:tbl>
      <w:tblPr>
        <w:tblW w:w="0" w:type="auto"/>
        <w:tblLook w:val="00A0" w:firstRow="1" w:lastRow="0" w:firstColumn="1" w:lastColumn="0" w:noHBand="0" w:noVBand="0"/>
      </w:tblPr>
      <w:tblGrid>
        <w:gridCol w:w="578"/>
        <w:gridCol w:w="5740"/>
        <w:gridCol w:w="2142"/>
      </w:tblGrid>
      <w:tr w:rsidR="00320F21" w:rsidRPr="002E7EC6" w14:paraId="1180FD22" w14:textId="77777777" w:rsidTr="003774B9">
        <w:trPr>
          <w:trHeight w:val="113"/>
        </w:trPr>
        <w:tc>
          <w:tcPr>
            <w:tcW w:w="581" w:type="dxa"/>
          </w:tcPr>
          <w:p w14:paraId="1263876D" w14:textId="77777777" w:rsidR="00320F21" w:rsidRPr="002E7EC6" w:rsidRDefault="00320F21" w:rsidP="009D230F">
            <w:pPr>
              <w:rPr>
                <w:rFonts w:ascii="Arial" w:hAnsi="Arial" w:cs="Arial"/>
                <w:szCs w:val="22"/>
                <w:lang w:val="en-GB"/>
              </w:rPr>
            </w:pPr>
            <w:r w:rsidRPr="002E7EC6">
              <w:rPr>
                <w:rFonts w:ascii="Arial" w:hAnsi="Arial" w:cs="Arial"/>
                <w:szCs w:val="22"/>
                <w:lang w:val="en-GB"/>
              </w:rPr>
              <w:t>(</w:t>
            </w:r>
            <w:proofErr w:type="spellStart"/>
            <w:r w:rsidRPr="002E7EC6">
              <w:rPr>
                <w:rFonts w:ascii="Arial" w:hAnsi="Arial" w:cs="Arial"/>
                <w:szCs w:val="22"/>
                <w:lang w:val="en-GB"/>
              </w:rPr>
              <w:t>i</w:t>
            </w:r>
            <w:proofErr w:type="spellEnd"/>
            <w:r w:rsidRPr="002E7EC6">
              <w:rPr>
                <w:rFonts w:ascii="Arial" w:hAnsi="Arial" w:cs="Arial"/>
                <w:szCs w:val="22"/>
                <w:lang w:val="en-GB"/>
              </w:rPr>
              <w:t>)</w:t>
            </w:r>
          </w:p>
        </w:tc>
        <w:tc>
          <w:tcPr>
            <w:tcW w:w="5906" w:type="dxa"/>
            <w:vAlign w:val="center"/>
          </w:tcPr>
          <w:p w14:paraId="0F4F2709" w14:textId="77777777" w:rsidR="00320F21" w:rsidRPr="002E7EC6" w:rsidRDefault="00320F21" w:rsidP="00D524CB">
            <w:pPr>
              <w:rPr>
                <w:rFonts w:ascii="Arial" w:hAnsi="Arial" w:cs="Arial"/>
                <w:szCs w:val="22"/>
                <w:lang w:val="en-GB"/>
              </w:rPr>
            </w:pPr>
            <w:r w:rsidRPr="002E7EC6">
              <w:rPr>
                <w:rFonts w:ascii="Arial" w:hAnsi="Arial" w:cs="Arial"/>
                <w:szCs w:val="22"/>
                <w:lang w:val="en-GB"/>
              </w:rPr>
              <w:t xml:space="preserve">Documentation sent to shareholders of the Merging and </w:t>
            </w:r>
            <w:r w:rsidR="00D524CB">
              <w:rPr>
                <w:rFonts w:ascii="Arial" w:hAnsi="Arial" w:cs="Arial"/>
                <w:szCs w:val="22"/>
                <w:lang w:val="en-GB"/>
              </w:rPr>
              <w:t>Sub-</w:t>
            </w:r>
            <w:r w:rsidRPr="002E7EC6">
              <w:rPr>
                <w:rFonts w:ascii="Arial" w:hAnsi="Arial" w:cs="Arial"/>
                <w:szCs w:val="22"/>
                <w:lang w:val="en-GB"/>
              </w:rPr>
              <w:t>Fund</w:t>
            </w:r>
          </w:p>
        </w:tc>
        <w:tc>
          <w:tcPr>
            <w:tcW w:w="2189" w:type="dxa"/>
            <w:vAlign w:val="center"/>
          </w:tcPr>
          <w:p w14:paraId="6A992DDA" w14:textId="77777777" w:rsidR="00320F21" w:rsidRPr="002E7EC6" w:rsidRDefault="00225F2E" w:rsidP="00CD4A1E">
            <w:pPr>
              <w:rPr>
                <w:rFonts w:ascii="Arial" w:hAnsi="Arial" w:cs="Arial"/>
                <w:szCs w:val="22"/>
                <w:lang w:val="en-GB"/>
              </w:rPr>
            </w:pPr>
            <w:r>
              <w:rPr>
                <w:rFonts w:ascii="Arial" w:hAnsi="Arial" w:cs="Arial"/>
                <w:szCs w:val="22"/>
                <w:lang w:val="en-GB"/>
              </w:rPr>
              <w:t>3</w:t>
            </w:r>
            <w:r w:rsidR="003774B9">
              <w:rPr>
                <w:rFonts w:ascii="Arial" w:hAnsi="Arial" w:cs="Arial"/>
                <w:szCs w:val="22"/>
                <w:lang w:val="en-GB"/>
              </w:rPr>
              <w:t>0 January 2020</w:t>
            </w:r>
          </w:p>
        </w:tc>
      </w:tr>
      <w:tr w:rsidR="00320F21" w:rsidRPr="002E7EC6" w14:paraId="7227862E" w14:textId="77777777" w:rsidTr="003774B9">
        <w:trPr>
          <w:trHeight w:val="327"/>
        </w:trPr>
        <w:tc>
          <w:tcPr>
            <w:tcW w:w="581" w:type="dxa"/>
          </w:tcPr>
          <w:p w14:paraId="1C7BBB46" w14:textId="77777777" w:rsidR="00320F21" w:rsidRPr="002E7EC6" w:rsidRDefault="00320F21" w:rsidP="009D230F">
            <w:pPr>
              <w:rPr>
                <w:rFonts w:ascii="Arial" w:hAnsi="Arial" w:cs="Arial"/>
                <w:szCs w:val="22"/>
                <w:lang w:val="en-GB"/>
              </w:rPr>
            </w:pPr>
          </w:p>
          <w:p w14:paraId="51CC2F91" w14:textId="77777777" w:rsidR="00320F21" w:rsidRPr="002E7EC6" w:rsidRDefault="00320F21" w:rsidP="009D230F">
            <w:pPr>
              <w:rPr>
                <w:rFonts w:ascii="Arial" w:hAnsi="Arial" w:cs="Arial"/>
                <w:szCs w:val="22"/>
                <w:lang w:val="en-GB"/>
              </w:rPr>
            </w:pPr>
            <w:r w:rsidRPr="002E7EC6">
              <w:rPr>
                <w:rFonts w:ascii="Arial" w:hAnsi="Arial" w:cs="Arial"/>
                <w:szCs w:val="22"/>
                <w:lang w:val="en-GB"/>
              </w:rPr>
              <w:t>(ii)</w:t>
            </w:r>
          </w:p>
          <w:p w14:paraId="21499DED" w14:textId="77777777" w:rsidR="00320F21" w:rsidRPr="002E7EC6" w:rsidRDefault="00320F21" w:rsidP="009D230F">
            <w:pPr>
              <w:rPr>
                <w:rFonts w:ascii="Arial" w:hAnsi="Arial" w:cs="Arial"/>
                <w:szCs w:val="22"/>
                <w:lang w:val="en-GB"/>
              </w:rPr>
            </w:pPr>
          </w:p>
          <w:p w14:paraId="203C552E" w14:textId="77777777" w:rsidR="00320F21" w:rsidRPr="002E7EC6" w:rsidRDefault="00320F21" w:rsidP="009D230F">
            <w:pPr>
              <w:rPr>
                <w:rFonts w:ascii="Arial" w:hAnsi="Arial" w:cs="Arial"/>
                <w:szCs w:val="22"/>
                <w:lang w:val="en-GB"/>
              </w:rPr>
            </w:pPr>
          </w:p>
        </w:tc>
        <w:tc>
          <w:tcPr>
            <w:tcW w:w="5906" w:type="dxa"/>
            <w:vAlign w:val="center"/>
          </w:tcPr>
          <w:p w14:paraId="459C9582" w14:textId="77777777" w:rsidR="00320F21" w:rsidRPr="002E7EC6" w:rsidRDefault="00320F21" w:rsidP="00847509">
            <w:pPr>
              <w:rPr>
                <w:rFonts w:ascii="Arial" w:hAnsi="Arial" w:cs="Arial"/>
                <w:szCs w:val="22"/>
                <w:lang w:val="en-GB"/>
              </w:rPr>
            </w:pPr>
            <w:r w:rsidRPr="002E7EC6">
              <w:rPr>
                <w:rFonts w:ascii="Arial" w:hAnsi="Arial" w:cs="Arial"/>
                <w:szCs w:val="22"/>
                <w:lang w:val="en-GB"/>
              </w:rPr>
              <w:t>Ca</w:t>
            </w:r>
            <w:r w:rsidR="00847509">
              <w:rPr>
                <w:rFonts w:ascii="Arial" w:hAnsi="Arial" w:cs="Arial"/>
                <w:szCs w:val="22"/>
                <w:lang w:val="en-GB"/>
              </w:rPr>
              <w:t>lculation of the exchange ratio</w:t>
            </w:r>
          </w:p>
        </w:tc>
        <w:tc>
          <w:tcPr>
            <w:tcW w:w="2189" w:type="dxa"/>
            <w:vAlign w:val="center"/>
          </w:tcPr>
          <w:p w14:paraId="2320873A" w14:textId="77777777" w:rsidR="00320F21" w:rsidRPr="002E7EC6" w:rsidRDefault="00320F21" w:rsidP="009D230F">
            <w:pPr>
              <w:rPr>
                <w:rFonts w:ascii="Arial" w:hAnsi="Arial" w:cs="Arial"/>
                <w:szCs w:val="22"/>
                <w:lang w:val="en-GB"/>
              </w:rPr>
            </w:pPr>
          </w:p>
          <w:p w14:paraId="31F07E3C" w14:textId="77777777" w:rsidR="00320F21" w:rsidRPr="002E7EC6" w:rsidRDefault="00225F2E" w:rsidP="00CD4A1E">
            <w:pPr>
              <w:rPr>
                <w:rFonts w:ascii="Arial" w:hAnsi="Arial" w:cs="Arial"/>
                <w:szCs w:val="22"/>
                <w:lang w:val="en-GB"/>
              </w:rPr>
            </w:pPr>
            <w:r>
              <w:rPr>
                <w:rFonts w:ascii="Arial" w:hAnsi="Arial" w:cs="Arial"/>
                <w:szCs w:val="22"/>
                <w:lang w:val="en-GB"/>
              </w:rPr>
              <w:t>6</w:t>
            </w:r>
            <w:r w:rsidR="003774B9">
              <w:rPr>
                <w:rFonts w:ascii="Arial" w:hAnsi="Arial" w:cs="Arial"/>
                <w:szCs w:val="22"/>
                <w:lang w:val="en-GB"/>
              </w:rPr>
              <w:t xml:space="preserve"> </w:t>
            </w:r>
            <w:r>
              <w:rPr>
                <w:rFonts w:ascii="Arial" w:hAnsi="Arial" w:cs="Arial"/>
                <w:szCs w:val="22"/>
                <w:lang w:val="en-GB"/>
              </w:rPr>
              <w:t>March</w:t>
            </w:r>
            <w:r w:rsidR="003774B9">
              <w:rPr>
                <w:rFonts w:ascii="Arial" w:hAnsi="Arial" w:cs="Arial"/>
                <w:szCs w:val="22"/>
                <w:lang w:val="en-GB"/>
              </w:rPr>
              <w:t xml:space="preserve"> 2020</w:t>
            </w:r>
          </w:p>
        </w:tc>
      </w:tr>
      <w:tr w:rsidR="00320F21" w:rsidRPr="002E7EC6" w14:paraId="6632161E" w14:textId="77777777" w:rsidTr="003774B9">
        <w:trPr>
          <w:trHeight w:val="277"/>
        </w:trPr>
        <w:tc>
          <w:tcPr>
            <w:tcW w:w="581" w:type="dxa"/>
          </w:tcPr>
          <w:p w14:paraId="7153905D" w14:textId="77777777" w:rsidR="00320F21" w:rsidRPr="002E7EC6" w:rsidRDefault="00320F21" w:rsidP="009D230F">
            <w:pPr>
              <w:rPr>
                <w:rFonts w:ascii="Arial" w:hAnsi="Arial" w:cs="Arial"/>
                <w:szCs w:val="22"/>
                <w:lang w:val="en-GB"/>
              </w:rPr>
            </w:pPr>
          </w:p>
          <w:p w14:paraId="2DD63127" w14:textId="77777777" w:rsidR="00320F21" w:rsidRPr="002E7EC6" w:rsidDel="00807C8A" w:rsidRDefault="00320F21" w:rsidP="009D230F">
            <w:pPr>
              <w:rPr>
                <w:rFonts w:ascii="Arial" w:hAnsi="Arial" w:cs="Arial"/>
                <w:szCs w:val="22"/>
                <w:lang w:val="en-GB"/>
              </w:rPr>
            </w:pPr>
            <w:r w:rsidRPr="002E7EC6">
              <w:rPr>
                <w:rFonts w:ascii="Arial" w:hAnsi="Arial" w:cs="Arial"/>
                <w:szCs w:val="22"/>
                <w:lang w:val="en-GB"/>
              </w:rPr>
              <w:t>(iii)</w:t>
            </w:r>
          </w:p>
        </w:tc>
        <w:tc>
          <w:tcPr>
            <w:tcW w:w="5906" w:type="dxa"/>
            <w:vAlign w:val="center"/>
          </w:tcPr>
          <w:p w14:paraId="0D287844" w14:textId="77777777" w:rsidR="00320F21" w:rsidRPr="002E7EC6" w:rsidRDefault="00320F21" w:rsidP="009D230F">
            <w:pPr>
              <w:rPr>
                <w:rFonts w:ascii="Arial" w:hAnsi="Arial" w:cs="Arial"/>
                <w:szCs w:val="22"/>
                <w:lang w:val="en-GB"/>
              </w:rPr>
            </w:pPr>
            <w:r w:rsidRPr="002E7EC6">
              <w:rPr>
                <w:rFonts w:ascii="Arial" w:hAnsi="Arial" w:cs="Arial"/>
                <w:szCs w:val="22"/>
                <w:lang w:val="en-GB"/>
              </w:rPr>
              <w:t xml:space="preserve">Effective Date </w:t>
            </w:r>
            <w:bookmarkStart w:id="0" w:name="_GoBack"/>
            <w:bookmarkEnd w:id="0"/>
          </w:p>
        </w:tc>
        <w:tc>
          <w:tcPr>
            <w:tcW w:w="2189" w:type="dxa"/>
            <w:vAlign w:val="center"/>
          </w:tcPr>
          <w:p w14:paraId="649A8D09" w14:textId="77777777" w:rsidR="00320F21" w:rsidRPr="002E7EC6" w:rsidRDefault="00320F21" w:rsidP="009D230F">
            <w:pPr>
              <w:rPr>
                <w:rFonts w:ascii="Arial" w:hAnsi="Arial" w:cs="Arial"/>
                <w:szCs w:val="22"/>
                <w:lang w:val="en-GB"/>
              </w:rPr>
            </w:pPr>
          </w:p>
          <w:p w14:paraId="1821854A" w14:textId="77777777" w:rsidR="00320F21" w:rsidRPr="002E7EC6" w:rsidRDefault="00225F2E" w:rsidP="009D230F">
            <w:pPr>
              <w:rPr>
                <w:rFonts w:ascii="Arial" w:hAnsi="Arial" w:cs="Arial"/>
                <w:szCs w:val="22"/>
                <w:lang w:val="en-GB"/>
              </w:rPr>
            </w:pPr>
            <w:r>
              <w:rPr>
                <w:rFonts w:ascii="Arial" w:hAnsi="Arial" w:cs="Arial"/>
                <w:szCs w:val="22"/>
                <w:lang w:val="en-GB"/>
              </w:rPr>
              <w:t>9</w:t>
            </w:r>
            <w:r w:rsidR="003774B9">
              <w:rPr>
                <w:rFonts w:ascii="Arial" w:hAnsi="Arial" w:cs="Arial"/>
                <w:szCs w:val="22"/>
                <w:lang w:val="en-GB"/>
              </w:rPr>
              <w:t xml:space="preserve"> </w:t>
            </w:r>
            <w:r>
              <w:rPr>
                <w:rFonts w:ascii="Arial" w:hAnsi="Arial" w:cs="Arial"/>
                <w:szCs w:val="22"/>
                <w:lang w:val="en-GB"/>
              </w:rPr>
              <w:t>March</w:t>
            </w:r>
            <w:r w:rsidR="003774B9">
              <w:rPr>
                <w:rFonts w:ascii="Arial" w:hAnsi="Arial" w:cs="Arial"/>
                <w:szCs w:val="22"/>
                <w:lang w:val="en-GB"/>
              </w:rPr>
              <w:t xml:space="preserve"> 2020</w:t>
            </w:r>
          </w:p>
          <w:p w14:paraId="59031464" w14:textId="77777777" w:rsidR="00320F21" w:rsidRPr="002E7EC6" w:rsidRDefault="00320F21" w:rsidP="009D230F">
            <w:pPr>
              <w:rPr>
                <w:rFonts w:ascii="Arial" w:hAnsi="Arial" w:cs="Arial"/>
                <w:szCs w:val="22"/>
                <w:lang w:val="en-GB"/>
              </w:rPr>
            </w:pPr>
          </w:p>
        </w:tc>
      </w:tr>
    </w:tbl>
    <w:p w14:paraId="2A877C47" w14:textId="77777777" w:rsidR="00320F21" w:rsidRPr="00847509" w:rsidRDefault="00320F21" w:rsidP="00320F21">
      <w:pPr>
        <w:overflowPunct w:val="0"/>
        <w:autoSpaceDE w:val="0"/>
        <w:autoSpaceDN w:val="0"/>
        <w:adjustRightInd w:val="0"/>
        <w:jc w:val="both"/>
        <w:textAlignment w:val="baseline"/>
        <w:rPr>
          <w:rFonts w:ascii="Arial" w:hAnsi="Arial" w:cs="Arial"/>
          <w:szCs w:val="22"/>
          <w:lang w:val="en-GB"/>
        </w:rPr>
      </w:pPr>
    </w:p>
    <w:p w14:paraId="2AB7818B" w14:textId="77777777" w:rsidR="00847509" w:rsidRDefault="00847509" w:rsidP="00847509">
      <w:pPr>
        <w:widowControl w:val="0"/>
        <w:autoSpaceDE w:val="0"/>
        <w:autoSpaceDN w:val="0"/>
        <w:adjustRightInd w:val="0"/>
        <w:jc w:val="both"/>
        <w:rPr>
          <w:rFonts w:ascii="Arial" w:hAnsi="Arial" w:cs="Arial"/>
          <w:szCs w:val="22"/>
          <w:lang w:val="en-GB"/>
        </w:rPr>
      </w:pPr>
      <w:r w:rsidRPr="00847509">
        <w:rPr>
          <w:rFonts w:ascii="Arial" w:hAnsi="Arial" w:cs="Arial"/>
          <w:szCs w:val="22"/>
          <w:lang w:val="en-GB"/>
        </w:rPr>
        <w:t xml:space="preserve">This Merger, which will be effective as of </w:t>
      </w:r>
      <w:r w:rsidR="00225F2E">
        <w:rPr>
          <w:rFonts w:ascii="Arial" w:hAnsi="Arial" w:cs="Arial"/>
          <w:szCs w:val="22"/>
          <w:lang w:val="en-GB"/>
        </w:rPr>
        <w:t>9</w:t>
      </w:r>
      <w:r w:rsidR="003774B9">
        <w:rPr>
          <w:rFonts w:ascii="Arial" w:hAnsi="Arial" w:cs="Arial"/>
          <w:szCs w:val="22"/>
          <w:lang w:val="en-GB"/>
        </w:rPr>
        <w:t xml:space="preserve"> </w:t>
      </w:r>
      <w:r w:rsidR="00225F2E">
        <w:rPr>
          <w:rFonts w:ascii="Arial" w:hAnsi="Arial" w:cs="Arial"/>
          <w:szCs w:val="22"/>
          <w:lang w:val="en-GB"/>
        </w:rPr>
        <w:t>March</w:t>
      </w:r>
      <w:r w:rsidR="003774B9">
        <w:rPr>
          <w:rFonts w:ascii="Arial" w:hAnsi="Arial" w:cs="Arial"/>
          <w:szCs w:val="22"/>
          <w:lang w:val="en-GB"/>
        </w:rPr>
        <w:t xml:space="preserve"> 2020</w:t>
      </w:r>
      <w:r w:rsidRPr="00847509">
        <w:rPr>
          <w:rFonts w:ascii="Arial" w:hAnsi="Arial" w:cs="Arial"/>
          <w:szCs w:val="22"/>
          <w:lang w:val="en-GB"/>
        </w:rPr>
        <w:t xml:space="preserve"> (the "Effective Date"),</w:t>
      </w:r>
      <w:r w:rsidRPr="00847509">
        <w:rPr>
          <w:rFonts w:ascii="Arial" w:hAnsi="Arial" w:cs="Arial" w:hint="eastAsia"/>
          <w:szCs w:val="22"/>
          <w:lang w:val="en-GB"/>
        </w:rPr>
        <w:t xml:space="preserve"> </w:t>
      </w:r>
      <w:r w:rsidRPr="00847509">
        <w:rPr>
          <w:rFonts w:ascii="Arial" w:hAnsi="Arial" w:cs="Arial"/>
          <w:szCs w:val="22"/>
          <w:lang w:val="en-GB"/>
        </w:rPr>
        <w:t>s</w:t>
      </w:r>
      <w:r w:rsidRPr="00847509">
        <w:rPr>
          <w:rFonts w:ascii="Arial" w:hAnsi="Arial" w:cs="Arial" w:hint="eastAsia"/>
          <w:szCs w:val="22"/>
          <w:lang w:val="en-GB"/>
        </w:rPr>
        <w:t xml:space="preserve">ubject to the approval of the </w:t>
      </w:r>
      <w:r w:rsidR="00097DE5">
        <w:rPr>
          <w:rFonts w:ascii="Arial" w:hAnsi="Arial" w:cs="Arial"/>
          <w:szCs w:val="22"/>
          <w:lang w:val="en-GB"/>
        </w:rPr>
        <w:t>unit</w:t>
      </w:r>
      <w:r w:rsidRPr="00847509">
        <w:rPr>
          <w:rFonts w:ascii="Arial" w:hAnsi="Arial" w:cs="Arial" w:hint="eastAsia"/>
          <w:szCs w:val="22"/>
          <w:lang w:val="en-GB"/>
        </w:rPr>
        <w:t xml:space="preserve">holders of the </w:t>
      </w:r>
      <w:r w:rsidRPr="00847509">
        <w:rPr>
          <w:rFonts w:ascii="Arial" w:hAnsi="Arial" w:cs="Arial"/>
          <w:szCs w:val="22"/>
          <w:lang w:val="en-GB"/>
        </w:rPr>
        <w:t>Merging Sub-Fund</w:t>
      </w:r>
      <w:r w:rsidRPr="00847509">
        <w:rPr>
          <w:rFonts w:ascii="Arial" w:hAnsi="Arial" w:cs="Arial" w:hint="eastAsia"/>
          <w:szCs w:val="22"/>
          <w:lang w:val="en-GB"/>
        </w:rPr>
        <w:t xml:space="preserve">, </w:t>
      </w:r>
      <w:r w:rsidRPr="00847509">
        <w:rPr>
          <w:rFonts w:ascii="Arial" w:hAnsi="Arial" w:cs="Arial"/>
          <w:szCs w:val="22"/>
          <w:lang w:val="en-GB"/>
        </w:rPr>
        <w:t xml:space="preserve">has been approved by the Board </w:t>
      </w:r>
      <w:r w:rsidR="00A45E91">
        <w:rPr>
          <w:rFonts w:ascii="Arial" w:hAnsi="Arial" w:cs="Arial"/>
          <w:szCs w:val="22"/>
          <w:lang w:val="en-GB"/>
        </w:rPr>
        <w:t xml:space="preserve">of Directors </w:t>
      </w:r>
      <w:r w:rsidRPr="00847509">
        <w:rPr>
          <w:rFonts w:ascii="Arial" w:hAnsi="Arial" w:cs="Arial"/>
          <w:szCs w:val="22"/>
          <w:lang w:val="en-GB"/>
        </w:rPr>
        <w:t xml:space="preserve">which is of the opinion that the Merger will be in the best interests of the shareholders of the </w:t>
      </w:r>
      <w:r w:rsidR="00A45E91">
        <w:rPr>
          <w:rFonts w:ascii="Arial" w:hAnsi="Arial" w:cs="Arial"/>
          <w:szCs w:val="22"/>
          <w:lang w:val="en-GB"/>
        </w:rPr>
        <w:t>S</w:t>
      </w:r>
      <w:r w:rsidRPr="00847509">
        <w:rPr>
          <w:rFonts w:ascii="Arial" w:hAnsi="Arial" w:cs="Arial"/>
          <w:szCs w:val="22"/>
          <w:lang w:val="en-GB"/>
        </w:rPr>
        <w:t xml:space="preserve">ub-Fund for the reasons detailed above. Should the </w:t>
      </w:r>
      <w:r w:rsidR="00097DE5">
        <w:rPr>
          <w:rFonts w:ascii="Arial" w:hAnsi="Arial" w:cs="Arial"/>
          <w:szCs w:val="22"/>
          <w:lang w:val="en-GB"/>
        </w:rPr>
        <w:t>unith</w:t>
      </w:r>
      <w:r w:rsidRPr="00847509">
        <w:rPr>
          <w:rFonts w:ascii="Arial" w:hAnsi="Arial" w:cs="Arial"/>
          <w:szCs w:val="22"/>
          <w:lang w:val="en-GB"/>
        </w:rPr>
        <w:t xml:space="preserve">olders of the Merging Sub-Fund not approve the Merger, the Merger will not take place and shareholders </w:t>
      </w:r>
      <w:r w:rsidR="00097DE5">
        <w:rPr>
          <w:rFonts w:ascii="Arial" w:hAnsi="Arial" w:cs="Arial"/>
          <w:szCs w:val="22"/>
          <w:lang w:val="en-GB"/>
        </w:rPr>
        <w:t xml:space="preserve">of the Sub-Fund </w:t>
      </w:r>
      <w:r w:rsidRPr="00847509">
        <w:rPr>
          <w:rFonts w:ascii="Arial" w:hAnsi="Arial" w:cs="Arial"/>
          <w:szCs w:val="22"/>
          <w:lang w:val="en-GB"/>
        </w:rPr>
        <w:t>will be informed accordingly by way of a separate notice.</w:t>
      </w:r>
    </w:p>
    <w:p w14:paraId="5CF16B7D" w14:textId="77777777" w:rsidR="00847509" w:rsidRPr="00847509" w:rsidRDefault="00847509" w:rsidP="00847509">
      <w:pPr>
        <w:widowControl w:val="0"/>
        <w:autoSpaceDE w:val="0"/>
        <w:autoSpaceDN w:val="0"/>
        <w:adjustRightInd w:val="0"/>
        <w:jc w:val="both"/>
        <w:rPr>
          <w:rFonts w:ascii="Arial" w:hAnsi="Arial" w:cs="Arial"/>
          <w:szCs w:val="22"/>
          <w:lang w:val="en-GB"/>
        </w:rPr>
      </w:pPr>
    </w:p>
    <w:p w14:paraId="34B58AE1" w14:textId="77777777" w:rsidR="00847509" w:rsidRPr="00847509" w:rsidRDefault="00847509" w:rsidP="00847509">
      <w:pPr>
        <w:widowControl w:val="0"/>
        <w:autoSpaceDE w:val="0"/>
        <w:autoSpaceDN w:val="0"/>
        <w:adjustRightInd w:val="0"/>
        <w:jc w:val="both"/>
        <w:rPr>
          <w:rFonts w:ascii="Arial" w:hAnsi="Arial" w:cs="Arial"/>
          <w:szCs w:val="22"/>
          <w:lang w:val="en-GB"/>
        </w:rPr>
      </w:pPr>
      <w:r w:rsidRPr="00847509">
        <w:rPr>
          <w:rFonts w:ascii="Arial" w:hAnsi="Arial" w:cs="Arial"/>
          <w:szCs w:val="22"/>
          <w:lang w:val="en-GB"/>
        </w:rPr>
        <w:t>The Merger will take place by contributing all of the outstanding assets and liabilities of the Merging Sub-Fund to the Sub-Fund as of the Effective Date.</w:t>
      </w:r>
    </w:p>
    <w:p w14:paraId="339DA5DE" w14:textId="77777777" w:rsidR="00847509" w:rsidRDefault="00847509" w:rsidP="00847509">
      <w:pPr>
        <w:widowControl w:val="0"/>
        <w:autoSpaceDE w:val="0"/>
        <w:autoSpaceDN w:val="0"/>
        <w:adjustRightInd w:val="0"/>
        <w:jc w:val="both"/>
        <w:rPr>
          <w:rFonts w:ascii="Arial" w:hAnsi="Arial" w:cs="Arial"/>
          <w:szCs w:val="22"/>
          <w:lang w:val="en-GB"/>
        </w:rPr>
      </w:pPr>
      <w:r w:rsidRPr="00847509">
        <w:rPr>
          <w:rFonts w:ascii="Arial" w:hAnsi="Arial" w:cs="Arial"/>
          <w:szCs w:val="22"/>
          <w:lang w:val="en-GB"/>
        </w:rPr>
        <w:t>Beyond the above mentioned benefits, the Board</w:t>
      </w:r>
      <w:r w:rsidR="00B903A8">
        <w:rPr>
          <w:rFonts w:ascii="Arial" w:hAnsi="Arial" w:cs="Arial"/>
          <w:szCs w:val="22"/>
          <w:lang w:val="en-GB"/>
        </w:rPr>
        <w:t xml:space="preserve"> of Directors </w:t>
      </w:r>
      <w:r w:rsidRPr="00847509">
        <w:rPr>
          <w:rFonts w:ascii="Arial" w:hAnsi="Arial" w:cs="Arial"/>
          <w:szCs w:val="22"/>
          <w:lang w:val="en-GB"/>
        </w:rPr>
        <w:t xml:space="preserve">does not expect there to be any impact on you as existing shareholders of the Sub-Fund, and existing share classes will continue to remain in place. If you desire, you may redeem your shares free of charge until the relevant cut-off time on </w:t>
      </w:r>
      <w:r w:rsidR="00225F2E">
        <w:rPr>
          <w:rFonts w:ascii="Arial" w:hAnsi="Arial" w:cs="Arial"/>
          <w:szCs w:val="22"/>
          <w:lang w:val="en-GB"/>
        </w:rPr>
        <w:t>2</w:t>
      </w:r>
      <w:r w:rsidR="003774B9">
        <w:rPr>
          <w:rFonts w:ascii="Arial" w:hAnsi="Arial" w:cs="Arial"/>
          <w:szCs w:val="22"/>
          <w:lang w:val="en-GB"/>
        </w:rPr>
        <w:t xml:space="preserve"> </w:t>
      </w:r>
      <w:r w:rsidR="00225F2E">
        <w:rPr>
          <w:rFonts w:ascii="Arial" w:hAnsi="Arial" w:cs="Arial"/>
          <w:szCs w:val="22"/>
          <w:lang w:val="en-GB"/>
        </w:rPr>
        <w:t>March</w:t>
      </w:r>
      <w:r w:rsidR="003774B9">
        <w:rPr>
          <w:rFonts w:ascii="Arial" w:hAnsi="Arial" w:cs="Arial"/>
          <w:szCs w:val="22"/>
          <w:lang w:val="en-GB"/>
        </w:rPr>
        <w:t xml:space="preserve"> 2020</w:t>
      </w:r>
      <w:r w:rsidRPr="00847509">
        <w:rPr>
          <w:rFonts w:ascii="Arial" w:hAnsi="Arial" w:cs="Arial"/>
          <w:szCs w:val="22"/>
          <w:lang w:val="en-GB"/>
        </w:rPr>
        <w:t xml:space="preserve">, or on any date thereafter in accordance with the provisions of the current prospectus of the Company, at </w:t>
      </w:r>
      <w:r w:rsidR="00C17732">
        <w:rPr>
          <w:rFonts w:ascii="Arial" w:hAnsi="Arial" w:cs="Arial"/>
          <w:szCs w:val="22"/>
          <w:lang w:val="en-GB"/>
        </w:rPr>
        <w:t>12.0</w:t>
      </w:r>
      <w:r w:rsidRPr="00847509">
        <w:rPr>
          <w:rFonts w:ascii="Arial" w:hAnsi="Arial" w:cs="Arial"/>
          <w:szCs w:val="22"/>
          <w:lang w:val="en-GB"/>
        </w:rPr>
        <w:t xml:space="preserve">0 p.m. (CET). </w:t>
      </w:r>
    </w:p>
    <w:p w14:paraId="41F0FE1B" w14:textId="77777777" w:rsidR="00847509" w:rsidRPr="00847509" w:rsidRDefault="00847509" w:rsidP="00847509">
      <w:pPr>
        <w:widowControl w:val="0"/>
        <w:autoSpaceDE w:val="0"/>
        <w:autoSpaceDN w:val="0"/>
        <w:adjustRightInd w:val="0"/>
        <w:jc w:val="both"/>
        <w:rPr>
          <w:rFonts w:ascii="Arial" w:hAnsi="Arial" w:cs="Arial"/>
          <w:szCs w:val="22"/>
          <w:lang w:val="en-GB"/>
        </w:rPr>
      </w:pPr>
    </w:p>
    <w:p w14:paraId="55511E16" w14:textId="77777777" w:rsidR="00847509" w:rsidRDefault="00847509" w:rsidP="00847509">
      <w:pPr>
        <w:widowControl w:val="0"/>
        <w:autoSpaceDE w:val="0"/>
        <w:autoSpaceDN w:val="0"/>
        <w:adjustRightInd w:val="0"/>
        <w:jc w:val="both"/>
        <w:rPr>
          <w:rFonts w:ascii="Arial" w:hAnsi="Arial" w:cs="Arial"/>
          <w:szCs w:val="22"/>
          <w:lang w:val="en-GB"/>
        </w:rPr>
      </w:pPr>
      <w:bookmarkStart w:id="1" w:name="_DV_M10"/>
      <w:bookmarkStart w:id="2" w:name="_DV_M11"/>
      <w:bookmarkStart w:id="3" w:name="_DV_M12"/>
      <w:bookmarkStart w:id="4" w:name="_DV_M50"/>
      <w:bookmarkStart w:id="5" w:name="_DV_M34"/>
      <w:bookmarkStart w:id="6" w:name="_DV_M35"/>
      <w:bookmarkStart w:id="7" w:name="_DV_M36"/>
      <w:bookmarkEnd w:id="1"/>
      <w:bookmarkEnd w:id="2"/>
      <w:bookmarkEnd w:id="3"/>
      <w:bookmarkEnd w:id="4"/>
      <w:bookmarkEnd w:id="5"/>
      <w:bookmarkEnd w:id="6"/>
      <w:bookmarkEnd w:id="7"/>
      <w:r w:rsidRPr="00847509">
        <w:rPr>
          <w:rFonts w:ascii="Arial" w:hAnsi="Arial" w:cs="Arial"/>
          <w:szCs w:val="22"/>
          <w:lang w:val="en-GB"/>
        </w:rPr>
        <w:t xml:space="preserve">Any legal, advisory and administrative costs and expenses associated with the preparation and completion of the Merger will be borne by </w:t>
      </w:r>
      <w:r>
        <w:rPr>
          <w:rFonts w:ascii="Arial" w:hAnsi="Arial" w:cs="Arial"/>
          <w:szCs w:val="22"/>
          <w:lang w:val="en-GB"/>
        </w:rPr>
        <w:t>Pareto Asset management AS</w:t>
      </w:r>
      <w:r w:rsidRPr="00847509">
        <w:rPr>
          <w:rFonts w:ascii="Arial" w:hAnsi="Arial" w:cs="Arial"/>
          <w:szCs w:val="22"/>
          <w:lang w:val="en-GB"/>
        </w:rPr>
        <w:t>, the investment manager of the Sub-Fund.</w:t>
      </w:r>
    </w:p>
    <w:p w14:paraId="23FC0863" w14:textId="77777777" w:rsidR="00847509" w:rsidRDefault="00847509" w:rsidP="00847509">
      <w:pPr>
        <w:widowControl w:val="0"/>
        <w:autoSpaceDE w:val="0"/>
        <w:autoSpaceDN w:val="0"/>
        <w:adjustRightInd w:val="0"/>
        <w:jc w:val="both"/>
        <w:rPr>
          <w:rFonts w:ascii="Arial" w:hAnsi="Arial" w:cs="Arial"/>
          <w:szCs w:val="22"/>
          <w:lang w:val="en-GB"/>
        </w:rPr>
      </w:pPr>
    </w:p>
    <w:p w14:paraId="16DA8201" w14:textId="77777777" w:rsidR="007E411F" w:rsidRDefault="007E411F" w:rsidP="00847509">
      <w:pPr>
        <w:widowControl w:val="0"/>
        <w:autoSpaceDE w:val="0"/>
        <w:autoSpaceDN w:val="0"/>
        <w:adjustRightInd w:val="0"/>
        <w:jc w:val="both"/>
        <w:rPr>
          <w:rFonts w:ascii="Arial" w:hAnsi="Arial" w:cs="Arial"/>
          <w:szCs w:val="22"/>
          <w:lang w:val="en-GB"/>
        </w:rPr>
      </w:pPr>
    </w:p>
    <w:p w14:paraId="57BA1124" w14:textId="77777777" w:rsidR="007E411F" w:rsidRDefault="007E411F" w:rsidP="00847509">
      <w:pPr>
        <w:widowControl w:val="0"/>
        <w:autoSpaceDE w:val="0"/>
        <w:autoSpaceDN w:val="0"/>
        <w:adjustRightInd w:val="0"/>
        <w:jc w:val="both"/>
        <w:rPr>
          <w:rFonts w:ascii="Arial" w:hAnsi="Arial" w:cs="Arial"/>
          <w:szCs w:val="22"/>
          <w:lang w:val="en-GB"/>
        </w:rPr>
      </w:pPr>
    </w:p>
    <w:p w14:paraId="18307570" w14:textId="77777777" w:rsidR="007E411F" w:rsidRDefault="007E411F" w:rsidP="00847509">
      <w:pPr>
        <w:widowControl w:val="0"/>
        <w:autoSpaceDE w:val="0"/>
        <w:autoSpaceDN w:val="0"/>
        <w:adjustRightInd w:val="0"/>
        <w:jc w:val="both"/>
        <w:rPr>
          <w:rFonts w:ascii="Arial" w:hAnsi="Arial" w:cs="Arial"/>
          <w:szCs w:val="22"/>
          <w:lang w:val="en-GB"/>
        </w:rPr>
      </w:pPr>
    </w:p>
    <w:p w14:paraId="1615F79F" w14:textId="77777777" w:rsidR="007E411F" w:rsidRDefault="007E411F" w:rsidP="00847509">
      <w:pPr>
        <w:widowControl w:val="0"/>
        <w:autoSpaceDE w:val="0"/>
        <w:autoSpaceDN w:val="0"/>
        <w:adjustRightInd w:val="0"/>
        <w:jc w:val="both"/>
        <w:rPr>
          <w:rFonts w:ascii="Arial" w:hAnsi="Arial" w:cs="Arial"/>
          <w:szCs w:val="22"/>
          <w:lang w:val="en-GB"/>
        </w:rPr>
      </w:pPr>
    </w:p>
    <w:p w14:paraId="63C94F7F" w14:textId="77777777" w:rsidR="007E411F" w:rsidRDefault="007E411F" w:rsidP="00847509">
      <w:pPr>
        <w:widowControl w:val="0"/>
        <w:autoSpaceDE w:val="0"/>
        <w:autoSpaceDN w:val="0"/>
        <w:adjustRightInd w:val="0"/>
        <w:jc w:val="both"/>
        <w:rPr>
          <w:rFonts w:ascii="Arial" w:hAnsi="Arial" w:cs="Arial"/>
          <w:szCs w:val="22"/>
          <w:lang w:val="en-GB"/>
        </w:rPr>
      </w:pPr>
    </w:p>
    <w:p w14:paraId="3CFBB8F1" w14:textId="77777777" w:rsidR="00847509" w:rsidRPr="00CD4A1E" w:rsidRDefault="00C17732" w:rsidP="00C17732">
      <w:pPr>
        <w:widowControl w:val="0"/>
        <w:numPr>
          <w:ilvl w:val="0"/>
          <w:numId w:val="18"/>
        </w:numPr>
        <w:overflowPunct w:val="0"/>
        <w:autoSpaceDE w:val="0"/>
        <w:autoSpaceDN w:val="0"/>
        <w:adjustRightInd w:val="0"/>
        <w:jc w:val="both"/>
        <w:textAlignment w:val="baseline"/>
        <w:rPr>
          <w:rFonts w:ascii="Arial" w:hAnsi="Arial" w:cs="Arial"/>
          <w:b/>
          <w:bCs/>
          <w:smallCaps/>
          <w:szCs w:val="22"/>
          <w:lang w:val="en-GB"/>
        </w:rPr>
      </w:pPr>
      <w:r w:rsidRPr="00CD4A1E">
        <w:rPr>
          <w:rFonts w:ascii="Arial" w:hAnsi="Arial" w:cs="Arial"/>
          <w:b/>
          <w:bCs/>
          <w:smallCaps/>
          <w:szCs w:val="22"/>
          <w:lang w:val="en-GB"/>
        </w:rPr>
        <w:t>H</w:t>
      </w:r>
      <w:r w:rsidR="00CD4A1E">
        <w:rPr>
          <w:rFonts w:ascii="Arial" w:hAnsi="Arial" w:cs="Arial"/>
          <w:b/>
          <w:bCs/>
          <w:smallCaps/>
          <w:szCs w:val="22"/>
          <w:lang w:val="en-GB"/>
        </w:rPr>
        <w:t>OW TO GET MORE INFORMATION</w:t>
      </w:r>
    </w:p>
    <w:p w14:paraId="1FF2CE6B" w14:textId="77777777" w:rsidR="00C17732" w:rsidRPr="00C17732" w:rsidRDefault="00C17732" w:rsidP="00C17732">
      <w:pPr>
        <w:widowControl w:val="0"/>
        <w:overflowPunct w:val="0"/>
        <w:autoSpaceDE w:val="0"/>
        <w:autoSpaceDN w:val="0"/>
        <w:adjustRightInd w:val="0"/>
        <w:jc w:val="both"/>
        <w:textAlignment w:val="baseline"/>
        <w:rPr>
          <w:rFonts w:ascii="Arial" w:hAnsi="Arial" w:cs="Arial"/>
          <w:b/>
          <w:bCs/>
          <w:smallCaps/>
          <w:szCs w:val="22"/>
          <w:lang w:val="en-GB"/>
        </w:rPr>
      </w:pPr>
    </w:p>
    <w:p w14:paraId="40E5A2AE" w14:textId="77777777" w:rsidR="00847509" w:rsidRDefault="00847509" w:rsidP="00847509">
      <w:pPr>
        <w:widowControl w:val="0"/>
        <w:autoSpaceDE w:val="0"/>
        <w:autoSpaceDN w:val="0"/>
        <w:adjustRightInd w:val="0"/>
        <w:jc w:val="both"/>
        <w:rPr>
          <w:rFonts w:ascii="Arial" w:hAnsi="Arial" w:cs="Arial"/>
          <w:szCs w:val="22"/>
          <w:lang w:val="en-GB"/>
        </w:rPr>
      </w:pPr>
      <w:r w:rsidRPr="00847509">
        <w:rPr>
          <w:rFonts w:ascii="Arial" w:hAnsi="Arial" w:cs="Arial"/>
          <w:szCs w:val="22"/>
          <w:lang w:val="en-GB"/>
        </w:rPr>
        <w:t>If you have questions, or if you would like to obtain the report of the independent auditor of the Company and full details about the Merging Sub-Fund, please contact your local representative.</w:t>
      </w:r>
    </w:p>
    <w:p w14:paraId="449ED5D0" w14:textId="77777777" w:rsidR="00C17732" w:rsidRPr="00847509" w:rsidRDefault="00C17732" w:rsidP="00847509">
      <w:pPr>
        <w:widowControl w:val="0"/>
        <w:autoSpaceDE w:val="0"/>
        <w:autoSpaceDN w:val="0"/>
        <w:adjustRightInd w:val="0"/>
        <w:jc w:val="both"/>
        <w:rPr>
          <w:rFonts w:ascii="Arial" w:hAnsi="Arial" w:cs="Arial"/>
          <w:szCs w:val="22"/>
          <w:lang w:val="en-GB"/>
        </w:rPr>
      </w:pPr>
    </w:p>
    <w:p w14:paraId="1C7D55EB" w14:textId="77777777" w:rsidR="00847509" w:rsidRPr="00847509" w:rsidRDefault="00847509" w:rsidP="00847509">
      <w:pPr>
        <w:widowControl w:val="0"/>
        <w:autoSpaceDE w:val="0"/>
        <w:autoSpaceDN w:val="0"/>
        <w:adjustRightInd w:val="0"/>
        <w:jc w:val="both"/>
        <w:rPr>
          <w:rFonts w:ascii="Arial" w:hAnsi="Arial" w:cs="Arial"/>
          <w:szCs w:val="22"/>
          <w:lang w:val="en-GB"/>
        </w:rPr>
      </w:pPr>
      <w:r w:rsidRPr="00847509">
        <w:rPr>
          <w:rFonts w:ascii="Arial" w:hAnsi="Arial" w:cs="Arial"/>
          <w:szCs w:val="22"/>
          <w:lang w:val="en-GB"/>
        </w:rPr>
        <w:t>Yours sincerely,</w:t>
      </w:r>
    </w:p>
    <w:p w14:paraId="0F55EB8B" w14:textId="77777777" w:rsidR="00847509" w:rsidRDefault="00847509" w:rsidP="00847509">
      <w:pPr>
        <w:widowControl w:val="0"/>
        <w:autoSpaceDE w:val="0"/>
        <w:autoSpaceDN w:val="0"/>
        <w:adjustRightInd w:val="0"/>
        <w:jc w:val="both"/>
        <w:rPr>
          <w:rFonts w:ascii="Arial" w:hAnsi="Arial" w:cs="Arial"/>
          <w:szCs w:val="22"/>
          <w:lang w:val="en-GB"/>
        </w:rPr>
      </w:pPr>
    </w:p>
    <w:p w14:paraId="6E39FECC" w14:textId="77777777" w:rsidR="00C17732" w:rsidRDefault="00C17732" w:rsidP="00847509">
      <w:pPr>
        <w:widowControl w:val="0"/>
        <w:autoSpaceDE w:val="0"/>
        <w:autoSpaceDN w:val="0"/>
        <w:adjustRightInd w:val="0"/>
        <w:jc w:val="both"/>
        <w:rPr>
          <w:rFonts w:ascii="Arial" w:hAnsi="Arial" w:cs="Arial"/>
          <w:szCs w:val="22"/>
          <w:lang w:val="en-GB"/>
        </w:rPr>
      </w:pPr>
    </w:p>
    <w:p w14:paraId="41F0C701" w14:textId="77777777" w:rsidR="00C17732" w:rsidRDefault="00C17732" w:rsidP="00847509">
      <w:pPr>
        <w:widowControl w:val="0"/>
        <w:autoSpaceDE w:val="0"/>
        <w:autoSpaceDN w:val="0"/>
        <w:adjustRightInd w:val="0"/>
        <w:jc w:val="both"/>
        <w:rPr>
          <w:rFonts w:ascii="Arial" w:hAnsi="Arial" w:cs="Arial"/>
          <w:szCs w:val="22"/>
          <w:lang w:val="en-GB"/>
        </w:rPr>
      </w:pPr>
    </w:p>
    <w:p w14:paraId="4D0F449C" w14:textId="77777777" w:rsidR="00C17732" w:rsidRDefault="00C17732" w:rsidP="00847509">
      <w:pPr>
        <w:widowControl w:val="0"/>
        <w:autoSpaceDE w:val="0"/>
        <w:autoSpaceDN w:val="0"/>
        <w:adjustRightInd w:val="0"/>
        <w:jc w:val="both"/>
        <w:rPr>
          <w:rFonts w:ascii="Arial" w:hAnsi="Arial" w:cs="Arial"/>
          <w:szCs w:val="22"/>
          <w:lang w:val="en-GB"/>
        </w:rPr>
      </w:pPr>
    </w:p>
    <w:p w14:paraId="5DC7E6F1" w14:textId="77777777" w:rsidR="00C17732" w:rsidRPr="00847509" w:rsidRDefault="00C17732" w:rsidP="00847509">
      <w:pPr>
        <w:widowControl w:val="0"/>
        <w:autoSpaceDE w:val="0"/>
        <w:autoSpaceDN w:val="0"/>
        <w:adjustRightInd w:val="0"/>
        <w:jc w:val="both"/>
        <w:rPr>
          <w:rFonts w:ascii="Arial" w:hAnsi="Arial" w:cs="Arial"/>
          <w:szCs w:val="22"/>
          <w:lang w:val="en-GB"/>
        </w:rPr>
      </w:pPr>
    </w:p>
    <w:p w14:paraId="58F39653" w14:textId="77777777" w:rsidR="00847509" w:rsidRPr="00847509" w:rsidRDefault="00847509" w:rsidP="00847509">
      <w:pPr>
        <w:widowControl w:val="0"/>
        <w:autoSpaceDE w:val="0"/>
        <w:autoSpaceDN w:val="0"/>
        <w:adjustRightInd w:val="0"/>
        <w:jc w:val="both"/>
        <w:rPr>
          <w:rFonts w:ascii="Arial" w:hAnsi="Arial" w:cs="Arial"/>
          <w:szCs w:val="22"/>
          <w:lang w:val="en-GB"/>
        </w:rPr>
      </w:pPr>
      <w:r w:rsidRPr="00847509">
        <w:rPr>
          <w:rFonts w:ascii="Arial" w:hAnsi="Arial" w:cs="Arial"/>
          <w:szCs w:val="22"/>
          <w:lang w:val="en-GB"/>
        </w:rPr>
        <w:t>The Board of Directors of</w:t>
      </w:r>
      <w:r>
        <w:rPr>
          <w:rFonts w:ascii="Arial" w:hAnsi="Arial" w:cs="Arial"/>
          <w:szCs w:val="22"/>
          <w:lang w:val="en-GB"/>
        </w:rPr>
        <w:t xml:space="preserve"> Pareto SICAV</w:t>
      </w:r>
    </w:p>
    <w:p w14:paraId="13DAC1C6" w14:textId="77777777" w:rsidR="00847509" w:rsidRPr="00847509" w:rsidRDefault="00847509" w:rsidP="00847509">
      <w:pPr>
        <w:widowControl w:val="0"/>
        <w:autoSpaceDE w:val="0"/>
        <w:autoSpaceDN w:val="0"/>
        <w:adjustRightInd w:val="0"/>
        <w:jc w:val="both"/>
        <w:rPr>
          <w:rFonts w:ascii="Arial" w:hAnsi="Arial" w:cs="Arial"/>
          <w:szCs w:val="22"/>
          <w:lang w:val="en-GB"/>
        </w:rPr>
      </w:pPr>
    </w:p>
    <w:p w14:paraId="4A4897AE" w14:textId="77777777" w:rsidR="00847509" w:rsidRPr="00847509" w:rsidRDefault="00847509" w:rsidP="00847509">
      <w:pPr>
        <w:widowControl w:val="0"/>
        <w:autoSpaceDE w:val="0"/>
        <w:autoSpaceDN w:val="0"/>
        <w:adjustRightInd w:val="0"/>
        <w:jc w:val="both"/>
        <w:rPr>
          <w:rFonts w:ascii="Arial" w:hAnsi="Arial" w:cs="Arial"/>
          <w:szCs w:val="22"/>
          <w:lang w:val="en-GB"/>
        </w:rPr>
      </w:pPr>
    </w:p>
    <w:sectPr w:rsidR="00847509" w:rsidRPr="00847509" w:rsidSect="00156A59">
      <w:footerReference w:type="default" r:id="rId7"/>
      <w:pgSz w:w="11907" w:h="16839"/>
      <w:pgMar w:top="567" w:right="1647" w:bottom="426" w:left="1800" w:header="708"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AA33B" w14:textId="77777777" w:rsidR="00844636" w:rsidRDefault="00844636" w:rsidP="00397651">
      <w:r>
        <w:separator/>
      </w:r>
    </w:p>
  </w:endnote>
  <w:endnote w:type="continuationSeparator" w:id="0">
    <w:p w14:paraId="669059F2" w14:textId="77777777" w:rsidR="00844636" w:rsidRDefault="00844636" w:rsidP="00397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w:altName w:val="Book Antiqua"/>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F9082" w14:textId="77777777" w:rsidR="00BA03BC" w:rsidRDefault="00BA03BC">
    <w:pPr>
      <w:pStyle w:val="Footer"/>
      <w:rPr>
        <w:rFonts w:ascii="Arial" w:hAnsi="Arial" w:cs="Arial"/>
        <w:color w:val="A6A6A6" w:themeColor="background1" w:themeShade="A6"/>
        <w:sz w:val="18"/>
        <w:szCs w:val="18"/>
        <w:lang w:val="en-US"/>
      </w:rPr>
    </w:pPr>
  </w:p>
  <w:p w14:paraId="153797BB" w14:textId="77777777" w:rsidR="00C811D6" w:rsidRPr="00AB7F0C" w:rsidRDefault="00C811D6">
    <w:pPr>
      <w:pStyle w:val="Footer"/>
      <w:rPr>
        <w:rFonts w:ascii="Arial" w:hAnsi="Arial" w:cs="Arial"/>
        <w:color w:val="A6A6A6" w:themeColor="background1" w:themeShade="A6"/>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EFC461" w14:textId="77777777" w:rsidR="00844636" w:rsidRDefault="00844636" w:rsidP="00397651">
      <w:r>
        <w:separator/>
      </w:r>
    </w:p>
  </w:footnote>
  <w:footnote w:type="continuationSeparator" w:id="0">
    <w:p w14:paraId="0502F371" w14:textId="77777777" w:rsidR="00844636" w:rsidRDefault="00844636" w:rsidP="003976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E03C9"/>
    <w:multiLevelType w:val="hybridMultilevel"/>
    <w:tmpl w:val="1CE02E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84D06DD"/>
    <w:multiLevelType w:val="hybridMultilevel"/>
    <w:tmpl w:val="A82C2678"/>
    <w:lvl w:ilvl="0" w:tplc="106A1654">
      <w:start w:val="1"/>
      <w:numFmt w:val="decimal"/>
      <w:lvlText w:val="%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B780B38"/>
    <w:multiLevelType w:val="hybridMultilevel"/>
    <w:tmpl w:val="1494C2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47D7CA1"/>
    <w:multiLevelType w:val="hybridMultilevel"/>
    <w:tmpl w:val="1236F8FC"/>
    <w:lvl w:ilvl="0" w:tplc="A58EAC08">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4" w15:restartNumberingAfterBreak="0">
    <w:nsid w:val="269D1EF9"/>
    <w:multiLevelType w:val="hybridMultilevel"/>
    <w:tmpl w:val="B680CCA0"/>
    <w:lvl w:ilvl="0" w:tplc="AC4A0E30">
      <w:start w:val="26"/>
      <w:numFmt w:val="bullet"/>
      <w:lvlText w:val="-"/>
      <w:lvlJc w:val="left"/>
      <w:pPr>
        <w:ind w:left="1080" w:hanging="360"/>
      </w:pPr>
      <w:rPr>
        <w:rFonts w:ascii="Arial" w:eastAsiaTheme="minorHAnsi"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3B224880"/>
    <w:multiLevelType w:val="hybridMultilevel"/>
    <w:tmpl w:val="A64AD3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3BC662C0"/>
    <w:multiLevelType w:val="hybridMultilevel"/>
    <w:tmpl w:val="7B8ABEFC"/>
    <w:lvl w:ilvl="0" w:tplc="AA482346">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11011F"/>
    <w:multiLevelType w:val="hybridMultilevel"/>
    <w:tmpl w:val="821A96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8D7E4E"/>
    <w:multiLevelType w:val="multilevel"/>
    <w:tmpl w:val="E938C72A"/>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9C5160"/>
    <w:multiLevelType w:val="hybridMultilevel"/>
    <w:tmpl w:val="AAF2A9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37A6C39"/>
    <w:multiLevelType w:val="hybridMultilevel"/>
    <w:tmpl w:val="4E8833F2"/>
    <w:lvl w:ilvl="0" w:tplc="A290F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4681651"/>
    <w:multiLevelType w:val="hybridMultilevel"/>
    <w:tmpl w:val="C98A58C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924149"/>
    <w:multiLevelType w:val="hybridMultilevel"/>
    <w:tmpl w:val="99A24CF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0C2618"/>
    <w:multiLevelType w:val="hybridMultilevel"/>
    <w:tmpl w:val="F6CC8036"/>
    <w:lvl w:ilvl="0" w:tplc="B37E8488">
      <w:start w:val="1"/>
      <w:numFmt w:val="bullet"/>
      <w:lvlText w:val="-"/>
      <w:lvlJc w:val="left"/>
      <w:pPr>
        <w:ind w:left="1440" w:hanging="360"/>
      </w:pPr>
      <w:rPr>
        <w:rFonts w:ascii="Arial" w:eastAsia="Times New Roman"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526A67F2"/>
    <w:multiLevelType w:val="hybridMultilevel"/>
    <w:tmpl w:val="06427354"/>
    <w:lvl w:ilvl="0" w:tplc="A58EAC08">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5" w15:restartNumberingAfterBreak="0">
    <w:nsid w:val="529C5F4D"/>
    <w:multiLevelType w:val="hybridMultilevel"/>
    <w:tmpl w:val="1494C2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5216AE4"/>
    <w:multiLevelType w:val="hybridMultilevel"/>
    <w:tmpl w:val="1722BAF8"/>
    <w:lvl w:ilvl="0" w:tplc="B7D02796">
      <w:start w:val="1"/>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89739F7"/>
    <w:multiLevelType w:val="hybridMultilevel"/>
    <w:tmpl w:val="78D29044"/>
    <w:lvl w:ilvl="0" w:tplc="8E48EC36">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75B20E6B"/>
    <w:multiLevelType w:val="hybridMultilevel"/>
    <w:tmpl w:val="ED5A5E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98A637F"/>
    <w:multiLevelType w:val="hybridMultilevel"/>
    <w:tmpl w:val="6F9AEFF0"/>
    <w:lvl w:ilvl="0" w:tplc="82768E08">
      <w:start w:val="1"/>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7C897A77"/>
    <w:multiLevelType w:val="hybridMultilevel"/>
    <w:tmpl w:val="315E6E42"/>
    <w:lvl w:ilvl="0" w:tplc="1BD4EDA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2"/>
  </w:num>
  <w:num w:numId="2">
    <w:abstractNumId w:val="10"/>
  </w:num>
  <w:num w:numId="3">
    <w:abstractNumId w:val="1"/>
  </w:num>
  <w:num w:numId="4">
    <w:abstractNumId w:val="9"/>
  </w:num>
  <w:num w:numId="5">
    <w:abstractNumId w:val="0"/>
  </w:num>
  <w:num w:numId="6">
    <w:abstractNumId w:val="16"/>
  </w:num>
  <w:num w:numId="7">
    <w:abstractNumId w:val="13"/>
  </w:num>
  <w:num w:numId="8">
    <w:abstractNumId w:val="2"/>
  </w:num>
  <w:num w:numId="9">
    <w:abstractNumId w:val="15"/>
  </w:num>
  <w:num w:numId="10">
    <w:abstractNumId w:val="17"/>
  </w:num>
  <w:num w:numId="11">
    <w:abstractNumId w:val="19"/>
  </w:num>
  <w:num w:numId="12">
    <w:abstractNumId w:val="18"/>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1"/>
  </w:num>
  <w:num w:numId="16">
    <w:abstractNumId w:val="6"/>
  </w:num>
  <w:num w:numId="17">
    <w:abstractNumId w:val="20"/>
  </w:num>
  <w:num w:numId="18">
    <w:abstractNumId w:val="8"/>
  </w:num>
  <w:num w:numId="19">
    <w:abstractNumId w:val="3"/>
  </w:num>
  <w:num w:numId="20">
    <w:abstractNumId w:val="1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651"/>
    <w:rsid w:val="00016F7C"/>
    <w:rsid w:val="00045406"/>
    <w:rsid w:val="00066D3D"/>
    <w:rsid w:val="00097DE5"/>
    <w:rsid w:val="000A4913"/>
    <w:rsid w:val="000C5371"/>
    <w:rsid w:val="00156A59"/>
    <w:rsid w:val="00183562"/>
    <w:rsid w:val="001A361B"/>
    <w:rsid w:val="001E0C07"/>
    <w:rsid w:val="001F25CB"/>
    <w:rsid w:val="001F2659"/>
    <w:rsid w:val="00213A3A"/>
    <w:rsid w:val="00217ED3"/>
    <w:rsid w:val="00224B9B"/>
    <w:rsid w:val="00225F2E"/>
    <w:rsid w:val="0022671C"/>
    <w:rsid w:val="00245A63"/>
    <w:rsid w:val="00262FA8"/>
    <w:rsid w:val="002744AA"/>
    <w:rsid w:val="002952F3"/>
    <w:rsid w:val="002D2148"/>
    <w:rsid w:val="00320F21"/>
    <w:rsid w:val="00341C40"/>
    <w:rsid w:val="00344138"/>
    <w:rsid w:val="00344733"/>
    <w:rsid w:val="00347B68"/>
    <w:rsid w:val="003756ED"/>
    <w:rsid w:val="003774B9"/>
    <w:rsid w:val="00385825"/>
    <w:rsid w:val="00397651"/>
    <w:rsid w:val="003C24AE"/>
    <w:rsid w:val="003C28A7"/>
    <w:rsid w:val="003C6634"/>
    <w:rsid w:val="003F7AE1"/>
    <w:rsid w:val="00435FFA"/>
    <w:rsid w:val="00436159"/>
    <w:rsid w:val="00436B2B"/>
    <w:rsid w:val="00476C35"/>
    <w:rsid w:val="00484019"/>
    <w:rsid w:val="004A41E1"/>
    <w:rsid w:val="004A7038"/>
    <w:rsid w:val="004C7F14"/>
    <w:rsid w:val="004E43A5"/>
    <w:rsid w:val="004F0E4F"/>
    <w:rsid w:val="00532A70"/>
    <w:rsid w:val="00532DA4"/>
    <w:rsid w:val="00543C5D"/>
    <w:rsid w:val="00596074"/>
    <w:rsid w:val="005D6254"/>
    <w:rsid w:val="005E56E6"/>
    <w:rsid w:val="005F5DFB"/>
    <w:rsid w:val="00621D3F"/>
    <w:rsid w:val="00632FCE"/>
    <w:rsid w:val="0069512A"/>
    <w:rsid w:val="006B2095"/>
    <w:rsid w:val="006C0C98"/>
    <w:rsid w:val="006C5A79"/>
    <w:rsid w:val="006D52AC"/>
    <w:rsid w:val="007065AA"/>
    <w:rsid w:val="00715C6A"/>
    <w:rsid w:val="00763864"/>
    <w:rsid w:val="007639D3"/>
    <w:rsid w:val="007A737C"/>
    <w:rsid w:val="007E1641"/>
    <w:rsid w:val="007E411F"/>
    <w:rsid w:val="007F22DA"/>
    <w:rsid w:val="007F28F4"/>
    <w:rsid w:val="00821425"/>
    <w:rsid w:val="00831CB2"/>
    <w:rsid w:val="00844636"/>
    <w:rsid w:val="00847509"/>
    <w:rsid w:val="0085604D"/>
    <w:rsid w:val="00922318"/>
    <w:rsid w:val="00937674"/>
    <w:rsid w:val="009431B3"/>
    <w:rsid w:val="00956749"/>
    <w:rsid w:val="009B75C2"/>
    <w:rsid w:val="009D7910"/>
    <w:rsid w:val="009E1814"/>
    <w:rsid w:val="009E2517"/>
    <w:rsid w:val="009F163C"/>
    <w:rsid w:val="00A156AE"/>
    <w:rsid w:val="00A30C6B"/>
    <w:rsid w:val="00A3164A"/>
    <w:rsid w:val="00A32381"/>
    <w:rsid w:val="00A4381E"/>
    <w:rsid w:val="00A45E91"/>
    <w:rsid w:val="00A80D50"/>
    <w:rsid w:val="00AB7F0C"/>
    <w:rsid w:val="00AC1A50"/>
    <w:rsid w:val="00AC78BA"/>
    <w:rsid w:val="00AE2C2D"/>
    <w:rsid w:val="00B83E10"/>
    <w:rsid w:val="00B903A8"/>
    <w:rsid w:val="00BA03BC"/>
    <w:rsid w:val="00BB2E72"/>
    <w:rsid w:val="00BC2369"/>
    <w:rsid w:val="00BC50CA"/>
    <w:rsid w:val="00C17732"/>
    <w:rsid w:val="00C318B4"/>
    <w:rsid w:val="00C34F4B"/>
    <w:rsid w:val="00C44010"/>
    <w:rsid w:val="00C46E84"/>
    <w:rsid w:val="00C50B10"/>
    <w:rsid w:val="00C66254"/>
    <w:rsid w:val="00C75CFA"/>
    <w:rsid w:val="00C811D6"/>
    <w:rsid w:val="00CA1761"/>
    <w:rsid w:val="00CB5FCD"/>
    <w:rsid w:val="00CD4A1E"/>
    <w:rsid w:val="00D03938"/>
    <w:rsid w:val="00D15E03"/>
    <w:rsid w:val="00D32D1F"/>
    <w:rsid w:val="00D43D07"/>
    <w:rsid w:val="00D524CB"/>
    <w:rsid w:val="00D61385"/>
    <w:rsid w:val="00DC7982"/>
    <w:rsid w:val="00E02146"/>
    <w:rsid w:val="00E066B5"/>
    <w:rsid w:val="00E20AFA"/>
    <w:rsid w:val="00E424E6"/>
    <w:rsid w:val="00E56E17"/>
    <w:rsid w:val="00E82BF2"/>
    <w:rsid w:val="00E92A72"/>
    <w:rsid w:val="00EC5679"/>
    <w:rsid w:val="00ED12A7"/>
    <w:rsid w:val="00ED393D"/>
    <w:rsid w:val="00EF3645"/>
    <w:rsid w:val="00F07771"/>
    <w:rsid w:val="00F10DA1"/>
    <w:rsid w:val="00F12FE5"/>
    <w:rsid w:val="00F3469D"/>
    <w:rsid w:val="00F36362"/>
    <w:rsid w:val="00F70328"/>
    <w:rsid w:val="00F740FE"/>
    <w:rsid w:val="00FB1B52"/>
    <w:rsid w:val="00FC3EF2"/>
    <w:rsid w:val="00FC7C86"/>
    <w:rsid w:val="00FD3B27"/>
    <w:rsid w:val="00FD5964"/>
    <w:rsid w:val="00FD64AA"/>
    <w:rsid w:val="00FE7E8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CF628E4"/>
  <w15:docId w15:val="{288A2339-87EC-4939-8BA3-0BC1E777E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651"/>
    <w:pPr>
      <w:spacing w:after="0" w:line="240" w:lineRule="auto"/>
    </w:pPr>
    <w:rPr>
      <w:rFonts w:ascii="Palatino" w:eastAsia="Times New Roman" w:hAnsi="Palatino" w:cs="Times New Roman"/>
      <w:szCs w:val="20"/>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397651"/>
    <w:pPr>
      <w:tabs>
        <w:tab w:val="center" w:pos="4320"/>
        <w:tab w:val="right" w:pos="8640"/>
      </w:tabs>
    </w:pPr>
  </w:style>
  <w:style w:type="character" w:customStyle="1" w:styleId="FooterChar">
    <w:name w:val="Footer Char"/>
    <w:basedOn w:val="DefaultParagraphFont"/>
    <w:link w:val="Footer"/>
    <w:rsid w:val="00397651"/>
    <w:rPr>
      <w:rFonts w:ascii="Palatino" w:eastAsia="Times New Roman" w:hAnsi="Palatino" w:cs="Times New Roman"/>
      <w:szCs w:val="20"/>
      <w:lang w:val="sv-SE" w:eastAsia="en-US"/>
    </w:rPr>
  </w:style>
  <w:style w:type="paragraph" w:styleId="Header">
    <w:name w:val="header"/>
    <w:basedOn w:val="Normal"/>
    <w:link w:val="HeaderChar"/>
    <w:uiPriority w:val="99"/>
    <w:unhideWhenUsed/>
    <w:rsid w:val="00397651"/>
    <w:pPr>
      <w:tabs>
        <w:tab w:val="center" w:pos="4513"/>
        <w:tab w:val="right" w:pos="9026"/>
      </w:tabs>
    </w:pPr>
  </w:style>
  <w:style w:type="character" w:customStyle="1" w:styleId="HeaderChar">
    <w:name w:val="Header Char"/>
    <w:basedOn w:val="DefaultParagraphFont"/>
    <w:link w:val="Header"/>
    <w:uiPriority w:val="99"/>
    <w:rsid w:val="00397651"/>
    <w:rPr>
      <w:rFonts w:ascii="Palatino" w:eastAsia="Times New Roman" w:hAnsi="Palatino" w:cs="Times New Roman"/>
      <w:szCs w:val="20"/>
      <w:lang w:val="sv-SE" w:eastAsia="en-US"/>
    </w:rPr>
  </w:style>
  <w:style w:type="paragraph" w:styleId="ListParagraph">
    <w:name w:val="List Paragraph"/>
    <w:basedOn w:val="Normal"/>
    <w:uiPriority w:val="34"/>
    <w:qFormat/>
    <w:rsid w:val="00217ED3"/>
    <w:pPr>
      <w:overflowPunct w:val="0"/>
      <w:autoSpaceDE w:val="0"/>
      <w:autoSpaceDN w:val="0"/>
      <w:adjustRightInd w:val="0"/>
      <w:ind w:left="720"/>
      <w:contextualSpacing/>
      <w:textAlignment w:val="baseline"/>
    </w:pPr>
    <w:rPr>
      <w:rFonts w:ascii="Times New Roman" w:hAnsi="Times New Roman"/>
      <w:sz w:val="26"/>
      <w:lang w:val="fr-FR" w:eastAsia="en-GB"/>
    </w:rPr>
  </w:style>
  <w:style w:type="paragraph" w:customStyle="1" w:styleId="ssPara1">
    <w:name w:val="ssPara1"/>
    <w:basedOn w:val="Normal"/>
    <w:rsid w:val="00E56E17"/>
    <w:pPr>
      <w:spacing w:after="220"/>
      <w:jc w:val="both"/>
    </w:pPr>
    <w:rPr>
      <w:rFonts w:ascii="Arial" w:hAnsi="Arial"/>
      <w:lang w:val="en-GB" w:eastAsia="ja-JP"/>
    </w:rPr>
  </w:style>
  <w:style w:type="table" w:styleId="TableGrid">
    <w:name w:val="Table Grid"/>
    <w:basedOn w:val="TableNormal"/>
    <w:uiPriority w:val="59"/>
    <w:rsid w:val="00E56E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7F0C"/>
    <w:rPr>
      <w:rFonts w:ascii="Tahoma" w:hAnsi="Tahoma" w:cs="Tahoma"/>
      <w:sz w:val="16"/>
      <w:szCs w:val="16"/>
    </w:rPr>
  </w:style>
  <w:style w:type="character" w:customStyle="1" w:styleId="BalloonTextChar">
    <w:name w:val="Balloon Text Char"/>
    <w:basedOn w:val="DefaultParagraphFont"/>
    <w:link w:val="BalloonText"/>
    <w:uiPriority w:val="99"/>
    <w:semiHidden/>
    <w:rsid w:val="00AB7F0C"/>
    <w:rPr>
      <w:rFonts w:ascii="Tahoma" w:eastAsia="Times New Roman" w:hAnsi="Tahoma" w:cs="Tahoma"/>
      <w:sz w:val="16"/>
      <w:szCs w:val="16"/>
      <w:lang w:val="sv-SE" w:eastAsia="en-US"/>
    </w:rPr>
  </w:style>
  <w:style w:type="table" w:customStyle="1" w:styleId="TableGrid1">
    <w:name w:val="Table Grid1"/>
    <w:basedOn w:val="TableNormal"/>
    <w:next w:val="TableGrid"/>
    <w:rsid w:val="003C6634"/>
    <w:pPr>
      <w:spacing w:after="0" w:line="240" w:lineRule="auto"/>
    </w:pPr>
    <w:rPr>
      <w:rFonts w:ascii="Times New Roman" w:eastAsia="Times New Roman" w:hAnsi="Times New Roman" w:cs="Times New Roman"/>
      <w:sz w:val="20"/>
      <w:szCs w:val="20"/>
      <w:lang w:val="fr-L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1CharCharCharCharCharCharCharCharChar">
    <w:name w:val="Char Char Char Char Char Char Char Char Char1 Char Char Char Char Char Char Char Char Char"/>
    <w:basedOn w:val="Normal"/>
    <w:rsid w:val="003C6634"/>
    <w:pPr>
      <w:spacing w:after="160" w:line="240" w:lineRule="exact"/>
    </w:pPr>
    <w:rPr>
      <w:rFonts w:ascii="Arial" w:hAnsi="Arial" w:cs="Arial"/>
      <w:kern w:val="16"/>
      <w:sz w:val="20"/>
      <w:lang w:val="en-GB" w:eastAsia="zh-CN"/>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al"/>
    <w:rsid w:val="00F70328"/>
    <w:pPr>
      <w:spacing w:after="160" w:line="240" w:lineRule="exact"/>
    </w:pPr>
    <w:rPr>
      <w:rFonts w:ascii="Times New Roman" w:hAnsi="Times New Roman"/>
      <w:sz w:val="20"/>
      <w:lang w:val="fr-FR" w:eastAsia="en-GB"/>
    </w:rPr>
  </w:style>
  <w:style w:type="character" w:styleId="CommentReference">
    <w:name w:val="annotation reference"/>
    <w:basedOn w:val="DefaultParagraphFont"/>
    <w:uiPriority w:val="99"/>
    <w:semiHidden/>
    <w:unhideWhenUsed/>
    <w:rsid w:val="00BC2369"/>
    <w:rPr>
      <w:sz w:val="16"/>
      <w:szCs w:val="16"/>
    </w:rPr>
  </w:style>
  <w:style w:type="paragraph" w:styleId="CommentText">
    <w:name w:val="annotation text"/>
    <w:basedOn w:val="Normal"/>
    <w:link w:val="CommentTextChar"/>
    <w:uiPriority w:val="99"/>
    <w:semiHidden/>
    <w:unhideWhenUsed/>
    <w:rsid w:val="00BC2369"/>
    <w:rPr>
      <w:sz w:val="20"/>
    </w:rPr>
  </w:style>
  <w:style w:type="character" w:customStyle="1" w:styleId="CommentTextChar">
    <w:name w:val="Comment Text Char"/>
    <w:basedOn w:val="DefaultParagraphFont"/>
    <w:link w:val="CommentText"/>
    <w:uiPriority w:val="99"/>
    <w:semiHidden/>
    <w:rsid w:val="00BC2369"/>
    <w:rPr>
      <w:rFonts w:ascii="Palatino" w:eastAsia="Times New Roman" w:hAnsi="Palatino" w:cs="Times New Roman"/>
      <w:sz w:val="20"/>
      <w:szCs w:val="20"/>
      <w:lang w:val="sv-SE" w:eastAsia="en-US"/>
    </w:rPr>
  </w:style>
  <w:style w:type="paragraph" w:styleId="CommentSubject">
    <w:name w:val="annotation subject"/>
    <w:basedOn w:val="CommentText"/>
    <w:next w:val="CommentText"/>
    <w:link w:val="CommentSubjectChar"/>
    <w:uiPriority w:val="99"/>
    <w:semiHidden/>
    <w:unhideWhenUsed/>
    <w:rsid w:val="00BC2369"/>
    <w:rPr>
      <w:b/>
      <w:bCs/>
    </w:rPr>
  </w:style>
  <w:style w:type="character" w:customStyle="1" w:styleId="CommentSubjectChar">
    <w:name w:val="Comment Subject Char"/>
    <w:basedOn w:val="CommentTextChar"/>
    <w:link w:val="CommentSubject"/>
    <w:uiPriority w:val="99"/>
    <w:semiHidden/>
    <w:rsid w:val="00BC2369"/>
    <w:rPr>
      <w:rFonts w:ascii="Palatino" w:eastAsia="Times New Roman" w:hAnsi="Palatino" w:cs="Times New Roman"/>
      <w:b/>
      <w:bCs/>
      <w:sz w:val="20"/>
      <w:szCs w:val="20"/>
      <w:lang w:val="sv-SE" w:eastAsia="en-US"/>
    </w:rPr>
  </w:style>
  <w:style w:type="character" w:styleId="Hyperlink">
    <w:name w:val="Hyperlink"/>
    <w:basedOn w:val="DefaultParagraphFont"/>
    <w:uiPriority w:val="99"/>
    <w:unhideWhenUsed/>
    <w:rsid w:val="00BC2369"/>
    <w:rPr>
      <w:color w:val="0000FF" w:themeColor="hyperlink"/>
      <w:u w:val="single"/>
    </w:rPr>
  </w:style>
  <w:style w:type="character" w:styleId="FollowedHyperlink">
    <w:name w:val="FollowedHyperlink"/>
    <w:basedOn w:val="DefaultParagraphFont"/>
    <w:uiPriority w:val="99"/>
    <w:semiHidden/>
    <w:unhideWhenUsed/>
    <w:rsid w:val="007A737C"/>
    <w:rPr>
      <w:color w:val="800080" w:themeColor="followedHyperlink"/>
      <w:u w:val="single"/>
    </w:rPr>
  </w:style>
  <w:style w:type="paragraph" w:customStyle="1" w:styleId="Body">
    <w:name w:val="Body"/>
    <w:basedOn w:val="Normal"/>
    <w:uiPriority w:val="99"/>
    <w:rsid w:val="00847509"/>
    <w:pPr>
      <w:autoSpaceDE w:val="0"/>
      <w:autoSpaceDN w:val="0"/>
      <w:adjustRightInd w:val="0"/>
      <w:spacing w:after="140" w:line="290" w:lineRule="auto"/>
      <w:jc w:val="both"/>
    </w:pPr>
    <w:rPr>
      <w:rFonts w:ascii="Arial" w:eastAsia="PMingLiU" w:hAnsi="Arial"/>
      <w:kern w:val="20"/>
      <w:sz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790829">
      <w:bodyDiv w:val="1"/>
      <w:marLeft w:val="0"/>
      <w:marRight w:val="0"/>
      <w:marTop w:val="0"/>
      <w:marBottom w:val="0"/>
      <w:divBdr>
        <w:top w:val="none" w:sz="0" w:space="0" w:color="auto"/>
        <w:left w:val="none" w:sz="0" w:space="0" w:color="auto"/>
        <w:bottom w:val="none" w:sz="0" w:space="0" w:color="auto"/>
        <w:right w:val="none" w:sz="0" w:space="0" w:color="auto"/>
      </w:divBdr>
    </w:div>
    <w:div w:id="843277404">
      <w:bodyDiv w:val="1"/>
      <w:marLeft w:val="0"/>
      <w:marRight w:val="0"/>
      <w:marTop w:val="0"/>
      <w:marBottom w:val="0"/>
      <w:divBdr>
        <w:top w:val="none" w:sz="0" w:space="0" w:color="auto"/>
        <w:left w:val="none" w:sz="0" w:space="0" w:color="auto"/>
        <w:bottom w:val="none" w:sz="0" w:space="0" w:color="auto"/>
        <w:right w:val="none" w:sz="0" w:space="0" w:color="auto"/>
      </w:divBdr>
    </w:div>
    <w:div w:id="209690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793</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Skandinaviska Enskilda Banken S.A.</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Ratzmann, Anika;Nicole.Schmidt-Troje@sebgroup.lu</dc:creator>
  <cp:lastModifiedBy>Espen Ottersen</cp:lastModifiedBy>
  <cp:revision>4</cp:revision>
  <cp:lastPrinted>2020-01-30T09:10:00Z</cp:lastPrinted>
  <dcterms:created xsi:type="dcterms:W3CDTF">2020-01-29T11:20:00Z</dcterms:created>
  <dcterms:modified xsi:type="dcterms:W3CDTF">2020-01-30T09:11:00Z</dcterms:modified>
</cp:coreProperties>
</file>