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71660E" w:rsidRPr="00BC5C56" w:rsidP="0071660E" w14:paraId="6FD9312D" w14:textId="77777777">
      <w:pPr>
        <w:spacing w:after="240"/>
        <w:ind w:left="357"/>
        <w:jc w:val="center"/>
        <w:rPr>
          <w:rFonts w:eastAsia="MS Mincho"/>
          <w:b/>
          <w:bCs/>
          <w:caps/>
          <w:color w:val="auto"/>
          <w:sz w:val="20"/>
          <w:szCs w:val="20"/>
          <w:u w:val="single"/>
          <w:shd w:val="clear" w:color="auto" w:fill="auto"/>
          <w:lang w:eastAsia="ja-JP"/>
        </w:rPr>
      </w:pPr>
      <w:r w:rsidRPr="00BC5C56">
        <w:rPr>
          <w:rFonts w:eastAsia="MS Mincho"/>
          <w:b/>
          <w:bCs/>
          <w:caps/>
          <w:sz w:val="20"/>
          <w:szCs w:val="20"/>
          <w:u w:val="single"/>
          <w:lang w:val="en-US" w:eastAsia="ja-JP"/>
        </w:rPr>
        <w:t>WHEB ASSET MANAGEMENT FUNDS ICAV</w:t>
      </w:r>
    </w:p>
    <w:p w:rsidR="0071660E" w:rsidRPr="00BC5C56" w:rsidP="0071660E" w14:paraId="7A407DFC" w14:textId="77777777">
      <w:pPr>
        <w:ind w:left="720"/>
        <w:jc w:val="center"/>
        <w:rPr>
          <w:rFonts w:eastAsia="Times New Roman"/>
          <w:color w:val="auto"/>
          <w:sz w:val="20"/>
          <w:szCs w:val="20"/>
          <w:shd w:val="clear" w:color="auto" w:fill="auto"/>
        </w:rPr>
      </w:pPr>
      <w:r w:rsidRPr="00BC5C56">
        <w:rPr>
          <w:rFonts w:eastAsia="Times New Roman"/>
          <w:sz w:val="20"/>
          <w:szCs w:val="20"/>
        </w:rPr>
        <w:t>(An open-ended Irish collective asset-management vehicle with registered number C</w:t>
      </w:r>
      <w:r w:rsidRPr="00594C04">
        <w:rPr>
          <w:rFonts w:ascii="Arial" w:hAnsi="Arial" w:cs="Arial"/>
          <w:sz w:val="20"/>
          <w:szCs w:val="20"/>
        </w:rPr>
        <w:t>435370</w:t>
      </w:r>
      <w:r w:rsidRPr="00BC5C56">
        <w:rPr>
          <w:rFonts w:eastAsia="Times New Roman"/>
          <w:sz w:val="20"/>
          <w:szCs w:val="20"/>
        </w:rPr>
        <w:t xml:space="preserve"> and established as an umbrella fund with segregated liability between sub-funds pursuant to the European Communities (Undertakings for Collective Investment in Transferable Securities) Regulations 2011 (as amended))</w:t>
      </w:r>
    </w:p>
    <w:p w:rsidR="0071660E" w:rsidRPr="00BC5C56" w:rsidP="0071660E" w14:paraId="172E2975" w14:textId="77777777">
      <w:pPr>
        <w:spacing w:after="260"/>
        <w:ind w:left="720"/>
        <w:jc w:val="center"/>
        <w:rPr>
          <w:rFonts w:eastAsia="Times New Roman"/>
          <w:color w:val="auto"/>
          <w:sz w:val="20"/>
          <w:szCs w:val="20"/>
          <w:shd w:val="clear" w:color="auto" w:fill="auto"/>
        </w:rPr>
      </w:pPr>
      <w:r>
        <w:rPr>
          <w:rFonts w:eastAsia="Times New Roman"/>
          <w:sz w:val="20"/>
          <w:szCs w:val="20"/>
        </w:rPr>
        <w:t xml:space="preserve"> </w:t>
      </w:r>
    </w:p>
    <w:p w:rsidR="0071660E" w:rsidRPr="00BC5C56" w:rsidP="0071660E" w14:paraId="60F9192F" w14:textId="77777777">
      <w:pPr>
        <w:spacing w:after="260"/>
        <w:ind w:left="720"/>
        <w:jc w:val="center"/>
        <w:rPr>
          <w:rFonts w:eastAsia="Times New Roman"/>
          <w:b/>
          <w:color w:val="auto"/>
          <w:sz w:val="20"/>
          <w:szCs w:val="20"/>
          <w:shd w:val="clear" w:color="auto" w:fill="auto"/>
        </w:rPr>
      </w:pPr>
    </w:p>
    <w:p w:rsidR="0071660E" w:rsidRPr="00BC5C56" w:rsidP="0071660E" w14:paraId="4F481C4E" w14:textId="77777777">
      <w:pPr>
        <w:spacing w:after="260"/>
        <w:ind w:left="720"/>
        <w:jc w:val="center"/>
        <w:rPr>
          <w:rFonts w:eastAsia="Times New Roman"/>
          <w:b/>
          <w:color w:val="auto"/>
          <w:sz w:val="20"/>
          <w:szCs w:val="20"/>
          <w:shd w:val="clear" w:color="auto" w:fill="auto"/>
        </w:rPr>
      </w:pPr>
    </w:p>
    <w:p w:rsidR="0071660E" w:rsidRPr="00BC5C56" w:rsidP="0071660E" w14:paraId="1C72BC52" w14:textId="77777777">
      <w:pPr>
        <w:spacing w:after="260"/>
        <w:ind w:left="720"/>
        <w:jc w:val="center"/>
        <w:rPr>
          <w:rFonts w:eastAsia="Times New Roman"/>
          <w:b/>
          <w:color w:val="auto"/>
          <w:sz w:val="20"/>
          <w:szCs w:val="20"/>
          <w:shd w:val="clear" w:color="auto" w:fill="auto"/>
        </w:rPr>
      </w:pPr>
    </w:p>
    <w:p w:rsidR="0071660E" w:rsidRPr="00BC5C56" w:rsidP="0071660E" w14:paraId="78AF6369" w14:textId="77777777">
      <w:pPr>
        <w:spacing w:after="260"/>
        <w:ind w:left="720"/>
        <w:jc w:val="center"/>
        <w:rPr>
          <w:rFonts w:eastAsia="Times New Roman"/>
          <w:b/>
          <w:color w:val="auto"/>
          <w:sz w:val="20"/>
          <w:szCs w:val="20"/>
          <w:shd w:val="clear" w:color="auto" w:fill="auto"/>
        </w:rPr>
      </w:pPr>
      <w:r w:rsidRPr="00BC5C56">
        <w:rPr>
          <w:rFonts w:eastAsia="Times New Roman"/>
          <w:b/>
          <w:sz w:val="20"/>
          <w:szCs w:val="20"/>
        </w:rPr>
        <w:t>SUPPLEMENT</w:t>
      </w:r>
    </w:p>
    <w:p w:rsidR="0071660E" w:rsidRPr="00BC5C56" w:rsidP="0071660E" w14:paraId="7B85BA3D" w14:textId="77777777">
      <w:pPr>
        <w:spacing w:after="260"/>
        <w:ind w:left="720"/>
        <w:jc w:val="center"/>
        <w:rPr>
          <w:rFonts w:ascii="Arial" w:eastAsia="Times New Roman" w:hAnsi="Arial" w:cs="Arial"/>
          <w:b/>
          <w:color w:val="auto"/>
          <w:sz w:val="20"/>
          <w:szCs w:val="20"/>
          <w:shd w:val="clear" w:color="auto" w:fill="auto"/>
          <w:lang w:val="en-US"/>
        </w:rPr>
      </w:pPr>
      <w:r w:rsidRPr="00BC5C56">
        <w:rPr>
          <w:rFonts w:ascii="Arial" w:eastAsia="Times New Roman" w:hAnsi="Arial" w:cs="Arial"/>
          <w:b/>
          <w:sz w:val="20"/>
          <w:szCs w:val="20"/>
          <w:lang w:val="en-US"/>
        </w:rPr>
        <w:t xml:space="preserve">WHEB </w:t>
      </w:r>
      <w:r>
        <w:rPr>
          <w:rFonts w:ascii="Arial" w:eastAsia="Times New Roman" w:hAnsi="Arial" w:cs="Arial"/>
          <w:b/>
          <w:sz w:val="20"/>
          <w:szCs w:val="20"/>
          <w:lang w:val="en-US"/>
        </w:rPr>
        <w:t>ENVIRONMENTAL IMPACT</w:t>
      </w:r>
      <w:r w:rsidRPr="00BC5C56">
        <w:rPr>
          <w:rFonts w:ascii="Arial" w:eastAsia="Times New Roman" w:hAnsi="Arial" w:cs="Arial"/>
          <w:b/>
          <w:sz w:val="20"/>
          <w:szCs w:val="20"/>
          <w:lang w:val="en-US"/>
        </w:rPr>
        <w:t xml:space="preserve"> FUND</w:t>
      </w:r>
    </w:p>
    <w:p w:rsidR="0071660E" w:rsidRPr="00BC5C56" w:rsidP="0071660E" w14:paraId="5446A32E" w14:textId="77777777">
      <w:pPr>
        <w:spacing w:after="260"/>
        <w:ind w:left="720"/>
        <w:jc w:val="center"/>
        <w:rPr>
          <w:rFonts w:ascii="Arial" w:eastAsia="Times New Roman" w:hAnsi="Arial" w:cs="Arial"/>
          <w:b/>
          <w:color w:val="auto"/>
          <w:sz w:val="20"/>
          <w:szCs w:val="20"/>
          <w:shd w:val="clear" w:color="auto" w:fill="auto"/>
        </w:rPr>
      </w:pPr>
    </w:p>
    <w:p w:rsidR="0071660E" w:rsidRPr="00BC5C56" w:rsidP="0071660E" w14:paraId="34EF00A4" w14:textId="4C23CD12">
      <w:pPr>
        <w:spacing w:after="260"/>
        <w:ind w:left="720"/>
        <w:jc w:val="center"/>
        <w:rPr>
          <w:rFonts w:eastAsia="Times New Roman"/>
          <w:b/>
          <w:color w:val="auto"/>
          <w:sz w:val="20"/>
          <w:szCs w:val="20"/>
          <w:shd w:val="clear" w:color="auto" w:fill="auto"/>
        </w:rPr>
      </w:pPr>
      <w:r w:rsidRPr="00BC5C56">
        <w:rPr>
          <w:rFonts w:eastAsia="Times New Roman"/>
          <w:b/>
          <w:sz w:val="20"/>
          <w:szCs w:val="20"/>
        </w:rPr>
        <w:t xml:space="preserve">Dated </w:t>
      </w:r>
      <w:r w:rsidR="006A105A">
        <w:rPr>
          <w:rFonts w:ascii="Arial" w:eastAsia="Times New Roman" w:hAnsi="Arial" w:cs="Arial"/>
          <w:b/>
          <w:sz w:val="20"/>
          <w:szCs w:val="20"/>
        </w:rPr>
        <w:t>1</w:t>
      </w:r>
      <w:r w:rsidR="0070403E">
        <w:rPr>
          <w:rFonts w:ascii="Arial" w:eastAsia="Times New Roman" w:hAnsi="Arial" w:cs="Arial"/>
          <w:b/>
          <w:sz w:val="20"/>
          <w:szCs w:val="20"/>
        </w:rPr>
        <w:t>6</w:t>
      </w:r>
      <w:r w:rsidR="006A105A">
        <w:rPr>
          <w:rFonts w:ascii="Arial" w:eastAsia="Times New Roman" w:hAnsi="Arial" w:cs="Arial"/>
          <w:b/>
          <w:sz w:val="20"/>
          <w:szCs w:val="20"/>
        </w:rPr>
        <w:t xml:space="preserve"> November</w:t>
      </w:r>
      <w:r>
        <w:rPr>
          <w:rFonts w:eastAsia="Times New Roman"/>
          <w:b/>
          <w:sz w:val="20"/>
          <w:szCs w:val="20"/>
        </w:rPr>
        <w:t xml:space="preserve"> </w:t>
      </w:r>
      <w:r w:rsidRPr="00BC5C56">
        <w:rPr>
          <w:rFonts w:eastAsia="Times New Roman"/>
          <w:b/>
          <w:sz w:val="20"/>
          <w:szCs w:val="20"/>
        </w:rPr>
        <w:t>202</w:t>
      </w:r>
      <w:r>
        <w:rPr>
          <w:rFonts w:eastAsia="Times New Roman"/>
          <w:b/>
          <w:sz w:val="20"/>
          <w:szCs w:val="20"/>
        </w:rPr>
        <w:t>1</w:t>
      </w:r>
    </w:p>
    <w:p w:rsidR="0071660E" w:rsidRPr="00BC5C56" w:rsidP="0071660E" w14:paraId="4FF860C1" w14:textId="77777777">
      <w:pPr>
        <w:spacing w:before="276" w:line="230" w:lineRule="exact"/>
        <w:ind w:left="72" w:right="72"/>
        <w:textAlignment w:val="baseline"/>
        <w:rPr>
          <w:rFonts w:ascii="Arial" w:eastAsia="Times New Roman" w:hAnsi="Arial"/>
          <w:b/>
          <w:color w:val="auto"/>
          <w:sz w:val="20"/>
          <w:szCs w:val="20"/>
          <w:shd w:val="clear" w:color="auto" w:fill="auto"/>
        </w:rPr>
      </w:pPr>
    </w:p>
    <w:p w:rsidR="0071660E" w:rsidRPr="00BC5C56" w:rsidP="0071660E" w14:paraId="06A4A967" w14:textId="77777777">
      <w:pPr>
        <w:spacing w:before="276" w:line="230" w:lineRule="exact"/>
        <w:ind w:left="72" w:right="72"/>
        <w:textAlignment w:val="baseline"/>
        <w:rPr>
          <w:rFonts w:ascii="Arial" w:eastAsia="Times New Roman" w:hAnsi="Arial"/>
          <w:b/>
          <w:color w:val="auto"/>
          <w:sz w:val="20"/>
          <w:szCs w:val="20"/>
          <w:shd w:val="clear" w:color="auto" w:fill="auto"/>
        </w:rPr>
      </w:pPr>
    </w:p>
    <w:p w:rsidR="0071660E" w:rsidRPr="00BC5C56" w:rsidP="0071660E" w14:paraId="76038D5C"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0153046D"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68DD82C4"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14EE89C0"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1E2742F3"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63402098"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2E2F4987"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67247F81"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7E3C724B"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6FF99FCE" w14:textId="77777777">
      <w:pPr>
        <w:spacing w:before="240"/>
        <w:outlineLvl w:val="0"/>
        <w:rPr>
          <w:rFonts w:ascii="Arial" w:eastAsia="Arial" w:hAnsi="Arial"/>
          <w:b/>
          <w:color w:val="auto"/>
          <w:sz w:val="20"/>
          <w:szCs w:val="20"/>
          <w:shd w:val="clear" w:color="auto" w:fill="auto"/>
          <w:lang w:val="en-US" w:eastAsia="en-US"/>
        </w:rPr>
      </w:pPr>
    </w:p>
    <w:p w:rsidR="0071660E" w:rsidRPr="00BC5C56" w:rsidP="0071660E" w14:paraId="567485B7" w14:textId="77777777">
      <w:pPr>
        <w:rPr>
          <w:rFonts w:ascii="Arial" w:eastAsia="Arial" w:hAnsi="Arial"/>
          <w:b/>
          <w:color w:val="000000"/>
          <w:sz w:val="20"/>
          <w:szCs w:val="20"/>
          <w:shd w:val="clear" w:color="auto" w:fill="auto"/>
          <w:lang w:val="en-US" w:eastAsia="en-US"/>
        </w:rPr>
      </w:pPr>
      <w:r w:rsidRPr="00BC5C56">
        <w:rPr>
          <w:rFonts w:ascii="Arial" w:eastAsia="Arial" w:hAnsi="Arial"/>
          <w:b/>
          <w:color w:val="000000"/>
          <w:sz w:val="20"/>
          <w:szCs w:val="20"/>
          <w:lang w:val="en-US" w:eastAsia="en-US"/>
        </w:rPr>
        <w:br w:type="page"/>
      </w:r>
    </w:p>
    <w:p w:rsidR="0071660E" w:rsidP="0071660E" w14:paraId="4F3A9C44" w14:textId="77777777">
      <w:pPr>
        <w:keepNext/>
        <w:keepLines/>
        <w:tabs>
          <w:tab w:val="right" w:leader="dot" w:pos="9497"/>
        </w:tabs>
        <w:spacing w:before="240"/>
        <w:outlineLvl w:val="0"/>
        <w:rPr>
          <w:noProof/>
          <w:color w:val="000000"/>
          <w:shd w:val="clear" w:color="auto" w:fill="auto"/>
        </w:rPr>
      </w:pPr>
      <w:r w:rsidRPr="00BC5C56">
        <w:rPr>
          <w:rFonts w:ascii="Arial" w:eastAsia="Arial" w:hAnsi="Arial"/>
          <w:b/>
          <w:color w:val="000000"/>
          <w:sz w:val="20"/>
          <w:szCs w:val="20"/>
          <w:lang w:val="en-US" w:eastAsia="en-US"/>
        </w:rPr>
        <w:t>Table of Contents</w:t>
      </w:r>
      <w:r>
        <w:rPr>
          <w:rFonts w:ascii="Arial" w:eastAsia="Arial" w:hAnsi="Arial"/>
          <w:b/>
          <w:color w:val="000000"/>
          <w:sz w:val="20"/>
          <w:szCs w:val="20"/>
          <w:lang w:val="en-US" w:eastAsia="en-US"/>
        </w:rPr>
        <w:fldChar w:fldCharType="begin" w:fldLock="1"/>
      </w:r>
      <w:r>
        <w:rPr>
          <w:rFonts w:ascii="Arial" w:eastAsia="Arial" w:hAnsi="Arial"/>
          <w:b/>
          <w:color w:val="000000"/>
          <w:sz w:val="20"/>
          <w:szCs w:val="20"/>
          <w:lang w:val="en-US" w:eastAsia="en-US"/>
        </w:rPr>
        <w:instrText xml:space="preserve">TOC \h \t "Heading 1,1,ssqAppendix,1,ssqExhibit,1,ssqPart,1,ssqSchedule,1,ssqSection,1,ssqToCAdd,1"  </w:instrText>
      </w:r>
      <w:r>
        <w:rPr>
          <w:rFonts w:ascii="Arial" w:eastAsia="Arial" w:hAnsi="Arial"/>
          <w:b/>
          <w:color w:val="000000"/>
          <w:sz w:val="20"/>
          <w:szCs w:val="20"/>
          <w:lang w:val="en-US" w:eastAsia="en-US"/>
        </w:rPr>
        <w:fldChar w:fldCharType="separate"/>
      </w:r>
    </w:p>
    <w:p w:rsidR="0071660E" w:rsidP="0071660E" w14:paraId="1689ADEE" w14:textId="77777777">
      <w:pPr>
        <w:pStyle w:val="TOC1"/>
        <w:rPr>
          <w:rFonts w:eastAsiaTheme="minorEastAsia" w:cstheme="minorBidi"/>
          <w:noProof/>
          <w:color w:val="auto"/>
          <w:shd w:val="clear" w:color="auto" w:fill="auto"/>
        </w:rPr>
      </w:pPr>
      <w:r>
        <w:fldChar w:fldCharType="begin"/>
      </w:r>
      <w:r>
        <w:instrText xml:space="preserve"> HYPERLINK \l "_Toc49264358" </w:instrText>
      </w:r>
      <w:r>
        <w:fldChar w:fldCharType="separate"/>
      </w:r>
      <w:r w:rsidRPr="0065074C">
        <w:rPr>
          <w:rStyle w:val="Hyperlink"/>
          <w:noProof/>
        </w:rPr>
        <w:t>1.</w:t>
      </w:r>
      <w:r>
        <w:rPr>
          <w:rFonts w:eastAsiaTheme="minorEastAsia" w:cstheme="minorBidi"/>
          <w:noProof/>
        </w:rPr>
        <w:tab/>
      </w:r>
      <w:r w:rsidRPr="0065074C">
        <w:rPr>
          <w:rStyle w:val="Hyperlink"/>
          <w:noProof/>
        </w:rPr>
        <w:t>Important information</w:t>
      </w:r>
      <w:r>
        <w:rPr>
          <w:noProof/>
        </w:rPr>
        <w:tab/>
      </w:r>
      <w:r>
        <w:rPr>
          <w:noProof/>
        </w:rPr>
        <w:fldChar w:fldCharType="begin" w:fldLock="1"/>
      </w:r>
      <w:r>
        <w:rPr>
          <w:noProof/>
        </w:rPr>
        <w:instrText xml:space="preserve"> PAGEREF _Toc49264358 \h </w:instrText>
      </w:r>
      <w:r>
        <w:rPr>
          <w:noProof/>
        </w:rPr>
        <w:fldChar w:fldCharType="separate"/>
      </w:r>
      <w:r>
        <w:rPr>
          <w:noProof/>
        </w:rPr>
        <w:t>3</w:t>
      </w:r>
      <w:r>
        <w:rPr>
          <w:noProof/>
        </w:rPr>
        <w:fldChar w:fldCharType="end"/>
      </w:r>
      <w:r>
        <w:fldChar w:fldCharType="end"/>
      </w:r>
    </w:p>
    <w:p w:rsidR="0071660E" w:rsidP="0071660E" w14:paraId="3AE2330B" w14:textId="77777777">
      <w:pPr>
        <w:pStyle w:val="TOC1"/>
        <w:rPr>
          <w:rFonts w:eastAsiaTheme="minorEastAsia" w:cstheme="minorBidi"/>
          <w:noProof/>
          <w:color w:val="auto"/>
          <w:shd w:val="clear" w:color="auto" w:fill="auto"/>
        </w:rPr>
      </w:pPr>
      <w:r>
        <w:fldChar w:fldCharType="begin"/>
      </w:r>
      <w:r>
        <w:instrText xml:space="preserve"> HYPERLINK \l "_Toc49264359" </w:instrText>
      </w:r>
      <w:r>
        <w:fldChar w:fldCharType="separate"/>
      </w:r>
      <w:r w:rsidRPr="0065074C">
        <w:rPr>
          <w:rStyle w:val="Hyperlink"/>
          <w:noProof/>
        </w:rPr>
        <w:t>2.</w:t>
      </w:r>
      <w:r>
        <w:rPr>
          <w:rFonts w:eastAsiaTheme="minorEastAsia" w:cstheme="minorBidi"/>
          <w:noProof/>
        </w:rPr>
        <w:tab/>
      </w:r>
      <w:r w:rsidRPr="0065074C">
        <w:rPr>
          <w:rStyle w:val="Hyperlink"/>
          <w:noProof/>
        </w:rPr>
        <w:t>Investment Objective</w:t>
      </w:r>
      <w:r>
        <w:rPr>
          <w:noProof/>
        </w:rPr>
        <w:tab/>
      </w:r>
      <w:r>
        <w:rPr>
          <w:noProof/>
        </w:rPr>
        <w:fldChar w:fldCharType="begin" w:fldLock="1"/>
      </w:r>
      <w:r>
        <w:rPr>
          <w:noProof/>
        </w:rPr>
        <w:instrText xml:space="preserve"> PAGEREF _Toc49264359 \h </w:instrText>
      </w:r>
      <w:r>
        <w:rPr>
          <w:noProof/>
        </w:rPr>
        <w:fldChar w:fldCharType="separate"/>
      </w:r>
      <w:r>
        <w:rPr>
          <w:noProof/>
        </w:rPr>
        <w:t>3</w:t>
      </w:r>
      <w:r>
        <w:rPr>
          <w:noProof/>
        </w:rPr>
        <w:fldChar w:fldCharType="end"/>
      </w:r>
      <w:r>
        <w:fldChar w:fldCharType="end"/>
      </w:r>
    </w:p>
    <w:p w:rsidR="0071660E" w:rsidP="0071660E" w14:paraId="12CCED96" w14:textId="77777777">
      <w:pPr>
        <w:pStyle w:val="TOC1"/>
        <w:rPr>
          <w:rFonts w:eastAsiaTheme="minorEastAsia" w:cstheme="minorBidi"/>
          <w:noProof/>
          <w:color w:val="auto"/>
          <w:shd w:val="clear" w:color="auto" w:fill="auto"/>
        </w:rPr>
      </w:pPr>
      <w:r>
        <w:fldChar w:fldCharType="begin"/>
      </w:r>
      <w:r>
        <w:instrText xml:space="preserve"> HYPERLINK \l "_Toc49264360" </w:instrText>
      </w:r>
      <w:r>
        <w:fldChar w:fldCharType="separate"/>
      </w:r>
      <w:r w:rsidRPr="0065074C">
        <w:rPr>
          <w:rStyle w:val="Hyperlink"/>
          <w:noProof/>
        </w:rPr>
        <w:t>3.</w:t>
      </w:r>
      <w:r>
        <w:rPr>
          <w:rFonts w:eastAsiaTheme="minorEastAsia" w:cstheme="minorBidi"/>
          <w:noProof/>
        </w:rPr>
        <w:tab/>
      </w:r>
      <w:r w:rsidRPr="0065074C">
        <w:rPr>
          <w:rStyle w:val="Hyperlink"/>
          <w:noProof/>
        </w:rPr>
        <w:t>Investment Policy</w:t>
      </w:r>
      <w:r>
        <w:rPr>
          <w:noProof/>
        </w:rPr>
        <w:tab/>
      </w:r>
      <w:r>
        <w:rPr>
          <w:noProof/>
        </w:rPr>
        <w:fldChar w:fldCharType="begin" w:fldLock="1"/>
      </w:r>
      <w:r>
        <w:rPr>
          <w:noProof/>
        </w:rPr>
        <w:instrText xml:space="preserve"> PAGEREF _Toc49264360 \h </w:instrText>
      </w:r>
      <w:r>
        <w:rPr>
          <w:noProof/>
        </w:rPr>
        <w:fldChar w:fldCharType="separate"/>
      </w:r>
      <w:r>
        <w:rPr>
          <w:noProof/>
        </w:rPr>
        <w:t>3</w:t>
      </w:r>
      <w:r>
        <w:rPr>
          <w:noProof/>
        </w:rPr>
        <w:fldChar w:fldCharType="end"/>
      </w:r>
      <w:r>
        <w:fldChar w:fldCharType="end"/>
      </w:r>
    </w:p>
    <w:p w:rsidR="0071660E" w:rsidP="0071660E" w14:paraId="5AC35CFF" w14:textId="77777777">
      <w:pPr>
        <w:pStyle w:val="TOC1"/>
        <w:rPr>
          <w:rFonts w:eastAsiaTheme="minorEastAsia" w:cstheme="minorBidi"/>
          <w:noProof/>
          <w:color w:val="auto"/>
          <w:shd w:val="clear" w:color="auto" w:fill="auto"/>
        </w:rPr>
      </w:pPr>
      <w:r>
        <w:fldChar w:fldCharType="begin"/>
      </w:r>
      <w:r>
        <w:instrText xml:space="preserve"> HYPERLINK \l "_Toc49264361" </w:instrText>
      </w:r>
      <w:r>
        <w:fldChar w:fldCharType="separate"/>
      </w:r>
      <w:r w:rsidRPr="0065074C">
        <w:rPr>
          <w:rStyle w:val="Hyperlink"/>
          <w:noProof/>
        </w:rPr>
        <w:t>4.</w:t>
      </w:r>
      <w:r>
        <w:rPr>
          <w:rFonts w:eastAsiaTheme="minorEastAsia" w:cstheme="minorBidi"/>
          <w:noProof/>
        </w:rPr>
        <w:tab/>
      </w:r>
      <w:r w:rsidRPr="0065074C">
        <w:rPr>
          <w:rStyle w:val="Hyperlink"/>
          <w:noProof/>
        </w:rPr>
        <w:t>Investment Strategy</w:t>
      </w:r>
      <w:r>
        <w:rPr>
          <w:noProof/>
        </w:rPr>
        <w:tab/>
      </w:r>
      <w:r>
        <w:rPr>
          <w:noProof/>
        </w:rPr>
        <w:fldChar w:fldCharType="begin" w:fldLock="1"/>
      </w:r>
      <w:r>
        <w:rPr>
          <w:noProof/>
        </w:rPr>
        <w:instrText xml:space="preserve"> PAGEREF _Toc49264361 \h </w:instrText>
      </w:r>
      <w:r>
        <w:rPr>
          <w:noProof/>
        </w:rPr>
        <w:fldChar w:fldCharType="separate"/>
      </w:r>
      <w:r>
        <w:rPr>
          <w:noProof/>
        </w:rPr>
        <w:t>4</w:t>
      </w:r>
      <w:r>
        <w:rPr>
          <w:noProof/>
        </w:rPr>
        <w:fldChar w:fldCharType="end"/>
      </w:r>
      <w:r>
        <w:fldChar w:fldCharType="end"/>
      </w:r>
    </w:p>
    <w:p w:rsidR="0071660E" w:rsidP="0071660E" w14:paraId="13D383BF" w14:textId="77777777">
      <w:pPr>
        <w:pStyle w:val="TOC1"/>
        <w:rPr>
          <w:rFonts w:eastAsiaTheme="minorEastAsia" w:cstheme="minorBidi"/>
          <w:noProof/>
          <w:color w:val="auto"/>
          <w:shd w:val="clear" w:color="auto" w:fill="auto"/>
        </w:rPr>
      </w:pPr>
      <w:r>
        <w:fldChar w:fldCharType="begin"/>
      </w:r>
      <w:r>
        <w:instrText xml:space="preserve"> HYPERLINK \l "_Toc49264363" </w:instrText>
      </w:r>
      <w:r>
        <w:fldChar w:fldCharType="separate"/>
      </w:r>
      <w:r>
        <w:rPr>
          <w:rStyle w:val="Hyperlink"/>
          <w:rFonts w:ascii="Arial" w:hAnsi="Arial"/>
          <w:noProof/>
        </w:rPr>
        <w:t>5</w:t>
      </w:r>
      <w:r w:rsidRPr="0065074C">
        <w:rPr>
          <w:rStyle w:val="Hyperlink"/>
          <w:rFonts w:ascii="Arial" w:hAnsi="Arial"/>
          <w:noProof/>
        </w:rPr>
        <w:t>.</w:t>
      </w:r>
      <w:r>
        <w:rPr>
          <w:rFonts w:eastAsiaTheme="minorEastAsia" w:cstheme="minorBidi"/>
          <w:noProof/>
        </w:rPr>
        <w:tab/>
      </w:r>
      <w:r w:rsidRPr="0065074C">
        <w:rPr>
          <w:rStyle w:val="Hyperlink"/>
          <w:rFonts w:ascii="Arial" w:hAnsi="Arial"/>
          <w:noProof/>
        </w:rPr>
        <w:t>Securities Financing/Efficient Portfolio Management/FDI</w:t>
      </w:r>
      <w:r>
        <w:rPr>
          <w:noProof/>
        </w:rPr>
        <w:tab/>
      </w:r>
      <w:r>
        <w:rPr>
          <w:noProof/>
        </w:rPr>
        <w:fldChar w:fldCharType="begin" w:fldLock="1"/>
      </w:r>
      <w:r>
        <w:rPr>
          <w:noProof/>
        </w:rPr>
        <w:instrText xml:space="preserve"> PAGEREF _Toc49264363 \h </w:instrText>
      </w:r>
      <w:r>
        <w:rPr>
          <w:noProof/>
        </w:rPr>
        <w:fldChar w:fldCharType="separate"/>
      </w:r>
      <w:r>
        <w:rPr>
          <w:noProof/>
        </w:rPr>
        <w:t>5</w:t>
      </w:r>
      <w:r>
        <w:rPr>
          <w:noProof/>
        </w:rPr>
        <w:fldChar w:fldCharType="end"/>
      </w:r>
      <w:r>
        <w:fldChar w:fldCharType="end"/>
      </w:r>
    </w:p>
    <w:p w:rsidR="0071660E" w:rsidP="0071660E" w14:paraId="3471F973" w14:textId="77777777">
      <w:pPr>
        <w:pStyle w:val="TOC1"/>
        <w:rPr>
          <w:rFonts w:eastAsiaTheme="minorEastAsia" w:cstheme="minorBidi"/>
          <w:noProof/>
          <w:color w:val="auto"/>
          <w:shd w:val="clear" w:color="auto" w:fill="auto"/>
        </w:rPr>
      </w:pPr>
      <w:r>
        <w:fldChar w:fldCharType="begin"/>
      </w:r>
      <w:r>
        <w:instrText xml:space="preserve"> HYPERLINK \l "_Toc49264364" </w:instrText>
      </w:r>
      <w:r>
        <w:fldChar w:fldCharType="separate"/>
      </w:r>
      <w:r>
        <w:rPr>
          <w:rStyle w:val="Hyperlink"/>
          <w:rFonts w:cs="Arial"/>
          <w:noProof/>
        </w:rPr>
        <w:t>6</w:t>
      </w:r>
      <w:r w:rsidRPr="0065074C">
        <w:rPr>
          <w:rStyle w:val="Hyperlink"/>
          <w:rFonts w:cs="Arial"/>
          <w:noProof/>
        </w:rPr>
        <w:t>.</w:t>
      </w:r>
      <w:r>
        <w:rPr>
          <w:rFonts w:eastAsiaTheme="minorEastAsia" w:cstheme="minorBidi"/>
          <w:noProof/>
        </w:rPr>
        <w:tab/>
      </w:r>
      <w:r w:rsidRPr="0065074C">
        <w:rPr>
          <w:rStyle w:val="Hyperlink"/>
          <w:rFonts w:cs="Arial"/>
          <w:noProof/>
        </w:rPr>
        <w:t>Investment Restrictions of the Fund</w:t>
      </w:r>
      <w:r>
        <w:rPr>
          <w:noProof/>
        </w:rPr>
        <w:tab/>
        <w:t>5</w:t>
      </w:r>
      <w:r>
        <w:fldChar w:fldCharType="end"/>
      </w:r>
    </w:p>
    <w:p w:rsidR="0071660E" w:rsidP="0071660E" w14:paraId="137B7A0F" w14:textId="77777777">
      <w:pPr>
        <w:pStyle w:val="TOC1"/>
        <w:rPr>
          <w:rFonts w:eastAsiaTheme="minorEastAsia" w:cstheme="minorBidi"/>
          <w:noProof/>
          <w:color w:val="auto"/>
          <w:shd w:val="clear" w:color="auto" w:fill="auto"/>
        </w:rPr>
      </w:pPr>
      <w:r>
        <w:fldChar w:fldCharType="begin"/>
      </w:r>
      <w:r>
        <w:instrText xml:space="preserve"> HYPERLINK \l "_Toc49264365" </w:instrText>
      </w:r>
      <w:r>
        <w:fldChar w:fldCharType="separate"/>
      </w:r>
      <w:r>
        <w:rPr>
          <w:rStyle w:val="Hyperlink"/>
          <w:noProof/>
        </w:rPr>
        <w:t>7</w:t>
      </w:r>
      <w:r w:rsidRPr="0065074C">
        <w:rPr>
          <w:rStyle w:val="Hyperlink"/>
          <w:noProof/>
        </w:rPr>
        <w:t>.</w:t>
      </w:r>
      <w:r>
        <w:rPr>
          <w:rFonts w:eastAsiaTheme="minorEastAsia" w:cstheme="minorBidi"/>
          <w:noProof/>
        </w:rPr>
        <w:tab/>
      </w:r>
      <w:r w:rsidRPr="0065074C">
        <w:rPr>
          <w:rStyle w:val="Hyperlink"/>
          <w:noProof/>
        </w:rPr>
        <w:t>Investment Manager</w:t>
      </w:r>
      <w:r>
        <w:rPr>
          <w:noProof/>
        </w:rPr>
        <w:tab/>
        <w:t>5</w:t>
      </w:r>
      <w:r>
        <w:fldChar w:fldCharType="end"/>
      </w:r>
    </w:p>
    <w:p w:rsidR="0071660E" w:rsidP="0071660E" w14:paraId="03065DA8" w14:textId="77777777">
      <w:pPr>
        <w:pStyle w:val="TOC1"/>
        <w:rPr>
          <w:rFonts w:eastAsiaTheme="minorEastAsia" w:cstheme="minorBidi"/>
          <w:noProof/>
          <w:color w:val="auto"/>
          <w:shd w:val="clear" w:color="auto" w:fill="auto"/>
        </w:rPr>
      </w:pPr>
      <w:r>
        <w:fldChar w:fldCharType="begin"/>
      </w:r>
      <w:r>
        <w:instrText xml:space="preserve"> HYPERLINK \l "_Toc49264366" </w:instrText>
      </w:r>
      <w:r>
        <w:fldChar w:fldCharType="separate"/>
      </w:r>
      <w:r>
        <w:rPr>
          <w:rStyle w:val="Hyperlink"/>
          <w:rFonts w:cs="Arial"/>
          <w:noProof/>
        </w:rPr>
        <w:t>8</w:t>
      </w:r>
      <w:r w:rsidRPr="0065074C">
        <w:rPr>
          <w:rStyle w:val="Hyperlink"/>
          <w:rFonts w:cs="Arial"/>
          <w:noProof/>
        </w:rPr>
        <w:t>.</w:t>
      </w:r>
      <w:r>
        <w:rPr>
          <w:rFonts w:eastAsiaTheme="minorEastAsia" w:cstheme="minorBidi"/>
          <w:noProof/>
        </w:rPr>
        <w:tab/>
      </w:r>
      <w:r w:rsidRPr="0065074C">
        <w:rPr>
          <w:rStyle w:val="Hyperlink"/>
          <w:rFonts w:cs="Arial"/>
          <w:noProof/>
        </w:rPr>
        <w:t>Risk Factors</w:t>
      </w:r>
      <w:r>
        <w:rPr>
          <w:noProof/>
        </w:rPr>
        <w:tab/>
      </w:r>
      <w:r>
        <w:rPr>
          <w:noProof/>
        </w:rPr>
        <w:fldChar w:fldCharType="begin" w:fldLock="1"/>
      </w:r>
      <w:r>
        <w:rPr>
          <w:noProof/>
        </w:rPr>
        <w:instrText xml:space="preserve"> PAGEREF _Toc49264366 \h </w:instrText>
      </w:r>
      <w:r>
        <w:rPr>
          <w:noProof/>
        </w:rPr>
        <w:fldChar w:fldCharType="separate"/>
      </w:r>
      <w:r>
        <w:rPr>
          <w:noProof/>
        </w:rPr>
        <w:t>6</w:t>
      </w:r>
      <w:r>
        <w:rPr>
          <w:noProof/>
        </w:rPr>
        <w:fldChar w:fldCharType="end"/>
      </w:r>
      <w:r>
        <w:fldChar w:fldCharType="end"/>
      </w:r>
    </w:p>
    <w:p w:rsidR="0071660E" w:rsidP="0071660E" w14:paraId="26439F18" w14:textId="77777777">
      <w:pPr>
        <w:pStyle w:val="TOC1"/>
        <w:rPr>
          <w:rFonts w:eastAsiaTheme="minorEastAsia" w:cstheme="minorBidi"/>
          <w:noProof/>
          <w:color w:val="auto"/>
          <w:shd w:val="clear" w:color="auto" w:fill="auto"/>
        </w:rPr>
      </w:pPr>
      <w:r>
        <w:fldChar w:fldCharType="begin"/>
      </w:r>
      <w:r>
        <w:instrText xml:space="preserve"> HYPERLINK \l "_Toc49264367" </w:instrText>
      </w:r>
      <w:r>
        <w:fldChar w:fldCharType="separate"/>
      </w:r>
      <w:r>
        <w:rPr>
          <w:rStyle w:val="Hyperlink"/>
          <w:rFonts w:cs="Arial"/>
          <w:noProof/>
        </w:rPr>
        <w:t>9</w:t>
      </w:r>
      <w:r w:rsidRPr="0065074C">
        <w:rPr>
          <w:rStyle w:val="Hyperlink"/>
          <w:rFonts w:cs="Arial"/>
          <w:noProof/>
        </w:rPr>
        <w:t>.</w:t>
      </w:r>
      <w:r>
        <w:rPr>
          <w:rFonts w:eastAsiaTheme="minorEastAsia" w:cstheme="minorBidi"/>
          <w:noProof/>
        </w:rPr>
        <w:tab/>
      </w:r>
      <w:r w:rsidRPr="0065074C">
        <w:rPr>
          <w:rStyle w:val="Hyperlink"/>
          <w:noProof/>
        </w:rPr>
        <w:t>Share Classes</w:t>
      </w:r>
      <w:r>
        <w:rPr>
          <w:noProof/>
        </w:rPr>
        <w:tab/>
      </w:r>
      <w:r>
        <w:rPr>
          <w:noProof/>
        </w:rPr>
        <w:fldChar w:fldCharType="begin" w:fldLock="1"/>
      </w:r>
      <w:r>
        <w:rPr>
          <w:noProof/>
        </w:rPr>
        <w:instrText xml:space="preserve"> PAGEREF _Toc49264367 \h </w:instrText>
      </w:r>
      <w:r>
        <w:rPr>
          <w:noProof/>
        </w:rPr>
        <w:fldChar w:fldCharType="separate"/>
      </w:r>
      <w:r>
        <w:rPr>
          <w:noProof/>
        </w:rPr>
        <w:t>6</w:t>
      </w:r>
      <w:r>
        <w:rPr>
          <w:noProof/>
        </w:rPr>
        <w:fldChar w:fldCharType="end"/>
      </w:r>
      <w:r>
        <w:fldChar w:fldCharType="end"/>
      </w:r>
    </w:p>
    <w:p w:rsidR="0071660E" w:rsidP="0071660E" w14:paraId="0B3B23E1" w14:textId="77777777">
      <w:pPr>
        <w:pStyle w:val="TOC1"/>
        <w:rPr>
          <w:rFonts w:eastAsiaTheme="minorEastAsia" w:cstheme="minorBidi"/>
          <w:noProof/>
          <w:color w:val="auto"/>
          <w:shd w:val="clear" w:color="auto" w:fill="auto"/>
        </w:rPr>
      </w:pPr>
      <w:r>
        <w:fldChar w:fldCharType="begin"/>
      </w:r>
      <w:r>
        <w:instrText xml:space="preserve"> HYPERLINK \l "_Toc49264368" </w:instrText>
      </w:r>
      <w:r>
        <w:fldChar w:fldCharType="separate"/>
      </w:r>
      <w:r w:rsidRPr="0065074C">
        <w:rPr>
          <w:rStyle w:val="Hyperlink"/>
          <w:noProof/>
        </w:rPr>
        <w:t>1</w:t>
      </w:r>
      <w:r>
        <w:rPr>
          <w:rStyle w:val="Hyperlink"/>
          <w:noProof/>
        </w:rPr>
        <w:t>0</w:t>
      </w:r>
      <w:r w:rsidRPr="0065074C">
        <w:rPr>
          <w:rStyle w:val="Hyperlink"/>
          <w:noProof/>
        </w:rPr>
        <w:t>.</w:t>
      </w:r>
      <w:r>
        <w:rPr>
          <w:rFonts w:eastAsiaTheme="minorEastAsia" w:cstheme="minorBidi"/>
          <w:noProof/>
        </w:rPr>
        <w:tab/>
      </w:r>
      <w:r w:rsidRPr="0065074C">
        <w:rPr>
          <w:rStyle w:val="Hyperlink"/>
          <w:noProof/>
        </w:rPr>
        <w:t>Key information for buying and selling</w:t>
      </w:r>
      <w:r>
        <w:rPr>
          <w:noProof/>
        </w:rPr>
        <w:tab/>
        <w:t>6</w:t>
      </w:r>
      <w:r>
        <w:fldChar w:fldCharType="end"/>
      </w:r>
    </w:p>
    <w:p w:rsidR="0071660E" w:rsidP="0071660E" w14:paraId="76DC3624" w14:textId="77777777">
      <w:pPr>
        <w:pStyle w:val="TOC1"/>
        <w:rPr>
          <w:rFonts w:eastAsiaTheme="minorEastAsia" w:cstheme="minorBidi"/>
          <w:noProof/>
          <w:color w:val="auto"/>
          <w:shd w:val="clear" w:color="auto" w:fill="auto"/>
        </w:rPr>
      </w:pPr>
      <w:r>
        <w:fldChar w:fldCharType="begin"/>
      </w:r>
      <w:r>
        <w:instrText xml:space="preserve"> HYPERLINK \l "_Toc49264369" </w:instrText>
      </w:r>
      <w:r>
        <w:fldChar w:fldCharType="separate"/>
      </w:r>
      <w:r w:rsidRPr="0065074C">
        <w:rPr>
          <w:rStyle w:val="Hyperlink"/>
          <w:noProof/>
        </w:rPr>
        <w:t>1</w:t>
      </w:r>
      <w:r>
        <w:rPr>
          <w:rStyle w:val="Hyperlink"/>
          <w:noProof/>
        </w:rPr>
        <w:t>1</w:t>
      </w:r>
      <w:r w:rsidRPr="0065074C">
        <w:rPr>
          <w:rStyle w:val="Hyperlink"/>
          <w:noProof/>
        </w:rPr>
        <w:t>.</w:t>
      </w:r>
      <w:r>
        <w:rPr>
          <w:rFonts w:eastAsiaTheme="minorEastAsia" w:cstheme="minorBidi"/>
          <w:noProof/>
        </w:rPr>
        <w:tab/>
      </w:r>
      <w:r w:rsidRPr="0065074C">
        <w:rPr>
          <w:rStyle w:val="Hyperlink"/>
          <w:noProof/>
        </w:rPr>
        <w:t>Application for Shares</w:t>
      </w:r>
      <w:r>
        <w:rPr>
          <w:noProof/>
        </w:rPr>
        <w:tab/>
        <w:t>7</w:t>
      </w:r>
      <w:r>
        <w:fldChar w:fldCharType="end"/>
      </w:r>
    </w:p>
    <w:p w:rsidR="0071660E" w:rsidP="0071660E" w14:paraId="79160740" w14:textId="77777777">
      <w:pPr>
        <w:pStyle w:val="TOC1"/>
        <w:rPr>
          <w:rFonts w:eastAsiaTheme="minorEastAsia" w:cstheme="minorBidi"/>
          <w:noProof/>
          <w:color w:val="auto"/>
          <w:shd w:val="clear" w:color="auto" w:fill="auto"/>
        </w:rPr>
      </w:pPr>
      <w:r>
        <w:fldChar w:fldCharType="begin"/>
      </w:r>
      <w:r>
        <w:instrText xml:space="preserve"> HYPERLINK \l "_Toc49264370" </w:instrText>
      </w:r>
      <w:r>
        <w:fldChar w:fldCharType="separate"/>
      </w:r>
      <w:r w:rsidRPr="0065074C">
        <w:rPr>
          <w:rStyle w:val="Hyperlink"/>
          <w:noProof/>
        </w:rPr>
        <w:t>1</w:t>
      </w:r>
      <w:r>
        <w:rPr>
          <w:rStyle w:val="Hyperlink"/>
          <w:noProof/>
        </w:rPr>
        <w:t>2</w:t>
      </w:r>
      <w:r w:rsidRPr="0065074C">
        <w:rPr>
          <w:rStyle w:val="Hyperlink"/>
          <w:noProof/>
        </w:rPr>
        <w:t>.</w:t>
      </w:r>
      <w:r>
        <w:rPr>
          <w:rFonts w:eastAsiaTheme="minorEastAsia" w:cstheme="minorBidi"/>
          <w:noProof/>
        </w:rPr>
        <w:tab/>
      </w:r>
      <w:r w:rsidRPr="0065074C">
        <w:rPr>
          <w:rStyle w:val="Hyperlink"/>
          <w:noProof/>
        </w:rPr>
        <w:t>Redemption of Shares</w:t>
      </w:r>
      <w:r>
        <w:rPr>
          <w:noProof/>
        </w:rPr>
        <w:tab/>
      </w:r>
      <w:r>
        <w:rPr>
          <w:noProof/>
        </w:rPr>
        <w:fldChar w:fldCharType="begin" w:fldLock="1"/>
      </w:r>
      <w:r>
        <w:rPr>
          <w:noProof/>
        </w:rPr>
        <w:instrText xml:space="preserve"> PAGEREF _Toc49264370 \h </w:instrText>
      </w:r>
      <w:r>
        <w:rPr>
          <w:noProof/>
        </w:rPr>
        <w:fldChar w:fldCharType="separate"/>
      </w:r>
      <w:r>
        <w:rPr>
          <w:noProof/>
        </w:rPr>
        <w:t>8</w:t>
      </w:r>
      <w:r>
        <w:rPr>
          <w:noProof/>
        </w:rPr>
        <w:fldChar w:fldCharType="end"/>
      </w:r>
      <w:r>
        <w:fldChar w:fldCharType="end"/>
      </w:r>
    </w:p>
    <w:p w:rsidR="0071660E" w:rsidP="0071660E" w14:paraId="5D210BF9" w14:textId="77777777">
      <w:pPr>
        <w:pStyle w:val="TOC1"/>
        <w:rPr>
          <w:rFonts w:eastAsiaTheme="minorEastAsia" w:cstheme="minorBidi"/>
          <w:noProof/>
          <w:color w:val="auto"/>
          <w:shd w:val="clear" w:color="auto" w:fill="auto"/>
        </w:rPr>
      </w:pPr>
      <w:r>
        <w:fldChar w:fldCharType="begin"/>
      </w:r>
      <w:r>
        <w:instrText xml:space="preserve"> HYPERLINK \l "_Toc49264371" </w:instrText>
      </w:r>
      <w:r>
        <w:fldChar w:fldCharType="separate"/>
      </w:r>
      <w:r w:rsidRPr="0065074C">
        <w:rPr>
          <w:rStyle w:val="Hyperlink"/>
          <w:noProof/>
        </w:rPr>
        <w:t>1</w:t>
      </w:r>
      <w:r>
        <w:rPr>
          <w:rStyle w:val="Hyperlink"/>
          <w:noProof/>
        </w:rPr>
        <w:t>3</w:t>
      </w:r>
      <w:r w:rsidRPr="0065074C">
        <w:rPr>
          <w:rStyle w:val="Hyperlink"/>
          <w:noProof/>
        </w:rPr>
        <w:t>.</w:t>
      </w:r>
      <w:r>
        <w:rPr>
          <w:rFonts w:eastAsiaTheme="minorEastAsia" w:cstheme="minorBidi"/>
          <w:noProof/>
        </w:rPr>
        <w:tab/>
      </w:r>
      <w:r w:rsidRPr="0065074C">
        <w:rPr>
          <w:rStyle w:val="Hyperlink"/>
          <w:noProof/>
        </w:rPr>
        <w:t>Fees and Expenses</w:t>
      </w:r>
      <w:r>
        <w:rPr>
          <w:noProof/>
        </w:rPr>
        <w:tab/>
      </w:r>
      <w:r>
        <w:rPr>
          <w:noProof/>
        </w:rPr>
        <w:fldChar w:fldCharType="begin" w:fldLock="1"/>
      </w:r>
      <w:r>
        <w:rPr>
          <w:noProof/>
        </w:rPr>
        <w:instrText xml:space="preserve"> PAGEREF _Toc49264371 \h </w:instrText>
      </w:r>
      <w:r>
        <w:rPr>
          <w:noProof/>
        </w:rPr>
        <w:fldChar w:fldCharType="separate"/>
      </w:r>
      <w:r>
        <w:rPr>
          <w:noProof/>
        </w:rPr>
        <w:t>8</w:t>
      </w:r>
      <w:r>
        <w:rPr>
          <w:noProof/>
        </w:rPr>
        <w:fldChar w:fldCharType="end"/>
      </w:r>
      <w:r>
        <w:fldChar w:fldCharType="end"/>
      </w:r>
    </w:p>
    <w:p w:rsidR="0071660E" w:rsidP="0071660E" w14:paraId="57D534AF" w14:textId="77777777">
      <w:pPr>
        <w:pStyle w:val="TOC1"/>
        <w:rPr>
          <w:rFonts w:eastAsiaTheme="minorEastAsia" w:cstheme="minorBidi"/>
          <w:noProof/>
          <w:color w:val="auto"/>
          <w:shd w:val="clear" w:color="auto" w:fill="auto"/>
        </w:rPr>
      </w:pPr>
      <w:r>
        <w:fldChar w:fldCharType="begin"/>
      </w:r>
      <w:r>
        <w:instrText xml:space="preserve"> HYPERLINK \l "_Toc49264372" </w:instrText>
      </w:r>
      <w:r>
        <w:fldChar w:fldCharType="separate"/>
      </w:r>
      <w:r w:rsidRPr="0065074C">
        <w:rPr>
          <w:rStyle w:val="Hyperlink"/>
          <w:noProof/>
        </w:rPr>
        <w:t>1</w:t>
      </w:r>
      <w:r>
        <w:rPr>
          <w:rStyle w:val="Hyperlink"/>
          <w:noProof/>
        </w:rPr>
        <w:t>4</w:t>
      </w:r>
      <w:r w:rsidRPr="0065074C">
        <w:rPr>
          <w:rStyle w:val="Hyperlink"/>
          <w:noProof/>
        </w:rPr>
        <w:t>.</w:t>
      </w:r>
      <w:r>
        <w:rPr>
          <w:rFonts w:eastAsiaTheme="minorEastAsia" w:cstheme="minorBidi"/>
          <w:noProof/>
        </w:rPr>
        <w:tab/>
      </w:r>
      <w:r w:rsidRPr="0065074C">
        <w:rPr>
          <w:rStyle w:val="Hyperlink"/>
          <w:noProof/>
        </w:rPr>
        <w:t>Funds of the ICAV</w:t>
      </w:r>
      <w:r>
        <w:rPr>
          <w:noProof/>
        </w:rPr>
        <w:tab/>
      </w:r>
      <w:r>
        <w:rPr>
          <w:noProof/>
        </w:rPr>
        <w:fldChar w:fldCharType="begin" w:fldLock="1"/>
      </w:r>
      <w:r>
        <w:rPr>
          <w:noProof/>
        </w:rPr>
        <w:instrText xml:space="preserve"> PAGEREF _Toc49264372 \h </w:instrText>
      </w:r>
      <w:r>
        <w:rPr>
          <w:noProof/>
        </w:rPr>
        <w:fldChar w:fldCharType="separate"/>
      </w:r>
      <w:r>
        <w:rPr>
          <w:noProof/>
        </w:rPr>
        <w:t>9</w:t>
      </w:r>
      <w:r>
        <w:rPr>
          <w:noProof/>
        </w:rPr>
        <w:fldChar w:fldCharType="end"/>
      </w:r>
      <w:r>
        <w:fldChar w:fldCharType="end"/>
      </w:r>
    </w:p>
    <w:p w:rsidR="0071660E" w:rsidRPr="00BC5C56" w:rsidP="0071660E" w14:paraId="295306A0" w14:textId="77777777">
      <w:pPr>
        <w:keepNext/>
        <w:keepLines/>
        <w:tabs>
          <w:tab w:val="right" w:leader="dot" w:pos="9497"/>
        </w:tabs>
        <w:spacing w:before="240"/>
        <w:outlineLvl w:val="0"/>
        <w:rPr>
          <w:rFonts w:ascii="Arial" w:eastAsia="Arial" w:hAnsi="Arial"/>
          <w:b/>
          <w:color w:val="auto"/>
          <w:sz w:val="20"/>
          <w:szCs w:val="20"/>
          <w:shd w:val="clear" w:color="auto" w:fill="auto"/>
          <w:lang w:val="en-US" w:eastAsia="en-US"/>
        </w:rPr>
      </w:pPr>
      <w:r>
        <w:rPr>
          <w:rFonts w:ascii="Arial" w:eastAsia="Arial" w:hAnsi="Arial"/>
          <w:b/>
          <w:color w:val="000000"/>
          <w:sz w:val="20"/>
          <w:szCs w:val="20"/>
          <w:lang w:val="en-US" w:eastAsia="en-US"/>
        </w:rPr>
        <w:fldChar w:fldCharType="end"/>
      </w:r>
    </w:p>
    <w:p w:rsidR="0071660E" w:rsidRPr="00BC5C56" w:rsidP="0071660E" w14:paraId="7131F4EC" w14:textId="77777777">
      <w:pPr>
        <w:keepNext/>
        <w:keepLines/>
        <w:spacing w:before="240"/>
        <w:outlineLvl w:val="0"/>
        <w:rPr>
          <w:rFonts w:ascii="Arial" w:eastAsia="Arial" w:hAnsi="Arial"/>
          <w:b/>
          <w:color w:val="auto"/>
          <w:sz w:val="20"/>
          <w:szCs w:val="20"/>
          <w:shd w:val="clear" w:color="auto" w:fill="auto"/>
          <w:lang w:val="en-US" w:eastAsia="en-US"/>
        </w:rPr>
      </w:pPr>
    </w:p>
    <w:p w:rsidR="0071660E" w:rsidRPr="00BC5C56" w:rsidP="0071660E" w14:paraId="248E08E8" w14:textId="77777777">
      <w:pPr>
        <w:keepNext/>
        <w:keepLines/>
        <w:outlineLvl w:val="0"/>
        <w:rPr>
          <w:rFonts w:ascii="Arial" w:eastAsia="Arial" w:hAnsi="Arial"/>
          <w:b/>
          <w:color w:val="auto"/>
          <w:sz w:val="20"/>
          <w:szCs w:val="20"/>
          <w:shd w:val="clear" w:color="auto" w:fill="auto"/>
          <w:lang w:val="en-US" w:eastAsia="en-US"/>
        </w:rPr>
      </w:pPr>
    </w:p>
    <w:p w:rsidR="0071660E" w:rsidRPr="00BC5C56" w:rsidP="0071660E" w14:paraId="77F879D4" w14:textId="77777777">
      <w:pPr>
        <w:keepNext/>
        <w:keepLines/>
        <w:outlineLvl w:val="0"/>
        <w:rPr>
          <w:rFonts w:ascii="Arial" w:eastAsia="Arial" w:hAnsi="Arial"/>
          <w:b/>
          <w:color w:val="auto"/>
          <w:sz w:val="20"/>
          <w:szCs w:val="20"/>
          <w:shd w:val="clear" w:color="auto" w:fill="auto"/>
          <w:lang w:val="en-US" w:eastAsia="en-US"/>
        </w:rPr>
      </w:pPr>
    </w:p>
    <w:p w:rsidR="0071660E" w:rsidRPr="00BC5C56" w:rsidP="0071660E" w14:paraId="1266BA25" w14:textId="77777777">
      <w:pPr>
        <w:rPr>
          <w:rFonts w:asciiTheme="majorHAnsi" w:hAnsiTheme="majorHAnsi"/>
          <w:b/>
          <w:bCs/>
          <w:color w:val="auto"/>
          <w:kern w:val="32"/>
          <w:sz w:val="20"/>
          <w:szCs w:val="20"/>
          <w:u w:val="single"/>
          <w:shd w:val="clear" w:color="auto" w:fill="auto"/>
        </w:rPr>
      </w:pPr>
      <w:r w:rsidRPr="00BC5C56">
        <w:rPr>
          <w:sz w:val="20"/>
          <w:szCs w:val="20"/>
        </w:rPr>
        <w:br w:type="page"/>
      </w:r>
    </w:p>
    <w:p w:rsidR="0071660E" w:rsidRPr="00BC5C56" w:rsidP="0071660E" w14:paraId="09FFE84C" w14:textId="77777777">
      <w:pPr>
        <w:pStyle w:val="Heading1"/>
        <w:rPr>
          <w:color w:val="auto"/>
          <w:sz w:val="20"/>
          <w:szCs w:val="20"/>
          <w:shd w:val="clear" w:color="auto" w:fill="auto"/>
        </w:rPr>
      </w:pPr>
      <w:bookmarkStart w:id="0" w:name="_Toc36113823"/>
      <w:bookmarkStart w:id="1" w:name="_Toc49264358"/>
      <w:bookmarkStart w:id="2" w:name="_Toc531274409"/>
      <w:r w:rsidRPr="00BC5C56">
        <w:rPr>
          <w:sz w:val="20"/>
          <w:szCs w:val="20"/>
        </w:rPr>
        <w:t>Important information</w:t>
      </w:r>
      <w:bookmarkEnd w:id="0"/>
      <w:bookmarkEnd w:id="1"/>
    </w:p>
    <w:p w:rsidR="0071660E" w:rsidRPr="00BC5C56" w:rsidP="0071660E" w14:paraId="397F70B2" w14:textId="77777777">
      <w:pPr>
        <w:pStyle w:val="ssPara1"/>
        <w:rPr>
          <w:color w:val="auto"/>
          <w:sz w:val="20"/>
          <w:szCs w:val="20"/>
          <w:shd w:val="clear" w:color="auto" w:fill="auto"/>
        </w:rPr>
      </w:pPr>
      <w:r w:rsidRPr="00BC5C56">
        <w:rPr>
          <w:sz w:val="20"/>
          <w:szCs w:val="20"/>
        </w:rPr>
        <w:t xml:space="preserve">This Supplement contains information relating to </w:t>
      </w:r>
      <w:r>
        <w:rPr>
          <w:sz w:val="20"/>
          <w:szCs w:val="20"/>
        </w:rPr>
        <w:t>W</w:t>
      </w:r>
      <w:r w:rsidRPr="00BC5C56">
        <w:rPr>
          <w:sz w:val="20"/>
          <w:szCs w:val="20"/>
        </w:rPr>
        <w:t xml:space="preserve">HEB </w:t>
      </w:r>
      <w:r>
        <w:rPr>
          <w:sz w:val="20"/>
          <w:szCs w:val="20"/>
        </w:rPr>
        <w:t>Environmental Impact</w:t>
      </w:r>
      <w:r w:rsidRPr="00BC5C56">
        <w:rPr>
          <w:sz w:val="20"/>
          <w:szCs w:val="20"/>
        </w:rPr>
        <w:t xml:space="preserve"> Fund (the “</w:t>
      </w:r>
      <w:r w:rsidRPr="0070654D">
        <w:rPr>
          <w:b/>
          <w:bCs/>
          <w:sz w:val="20"/>
          <w:szCs w:val="20"/>
        </w:rPr>
        <w:t>Fund</w:t>
      </w:r>
      <w:r w:rsidRPr="00BC5C56">
        <w:rPr>
          <w:sz w:val="20"/>
          <w:szCs w:val="20"/>
        </w:rPr>
        <w:t>”), a Fund of WHEB A</w:t>
      </w:r>
      <w:r>
        <w:rPr>
          <w:sz w:val="20"/>
          <w:szCs w:val="20"/>
        </w:rPr>
        <w:t>sset</w:t>
      </w:r>
      <w:r w:rsidRPr="00BC5C56">
        <w:rPr>
          <w:sz w:val="20"/>
          <w:szCs w:val="20"/>
        </w:rPr>
        <w:t xml:space="preserve"> M</w:t>
      </w:r>
      <w:r>
        <w:rPr>
          <w:sz w:val="20"/>
          <w:szCs w:val="20"/>
        </w:rPr>
        <w:t>anagement Funds</w:t>
      </w:r>
      <w:r w:rsidRPr="00BC5C56">
        <w:rPr>
          <w:sz w:val="20"/>
          <w:szCs w:val="20"/>
        </w:rPr>
        <w:t xml:space="preserve"> ICAV (the “</w:t>
      </w:r>
      <w:r w:rsidRPr="0070654D">
        <w:rPr>
          <w:b/>
          <w:bCs/>
          <w:sz w:val="20"/>
          <w:szCs w:val="20"/>
        </w:rPr>
        <w:t>ICAV</w:t>
      </w:r>
      <w:r w:rsidRPr="00BC5C56">
        <w:rPr>
          <w:sz w:val="20"/>
          <w:szCs w:val="20"/>
        </w:rPr>
        <w:t>”), an open-ended umbrella fund with segregated liability between Funds authorised by the Central Bank as a UCITS pursuant to the UCITS Regulations.</w:t>
      </w:r>
    </w:p>
    <w:p w:rsidR="0071660E" w:rsidRPr="00BC5C56" w:rsidP="0071660E" w14:paraId="69132245" w14:textId="688825B3">
      <w:pPr>
        <w:pStyle w:val="ssPara1"/>
        <w:rPr>
          <w:color w:val="auto"/>
          <w:sz w:val="20"/>
          <w:szCs w:val="20"/>
          <w:shd w:val="clear" w:color="auto" w:fill="auto"/>
        </w:rPr>
      </w:pPr>
      <w:r w:rsidRPr="00BC5C56">
        <w:rPr>
          <w:sz w:val="20"/>
          <w:szCs w:val="20"/>
        </w:rPr>
        <w:t xml:space="preserve">This Supplement forms part of and should be read in conjunction with the general description of the ICAV contained in the Prospectus dated </w:t>
      </w:r>
      <w:r w:rsidR="006A105A">
        <w:rPr>
          <w:rFonts w:ascii="Arial" w:hAnsi="Arial" w:cs="Arial"/>
          <w:sz w:val="20"/>
          <w:szCs w:val="20"/>
        </w:rPr>
        <w:t>1</w:t>
      </w:r>
      <w:r w:rsidR="0070403E">
        <w:rPr>
          <w:rFonts w:ascii="Arial" w:hAnsi="Arial" w:cs="Arial"/>
          <w:sz w:val="20"/>
          <w:szCs w:val="20"/>
        </w:rPr>
        <w:t>6</w:t>
      </w:r>
      <w:r w:rsidR="006A105A">
        <w:rPr>
          <w:rFonts w:ascii="Arial" w:hAnsi="Arial" w:cs="Arial"/>
          <w:sz w:val="20"/>
          <w:szCs w:val="20"/>
        </w:rPr>
        <w:t xml:space="preserve"> November</w:t>
      </w:r>
      <w:r>
        <w:rPr>
          <w:sz w:val="20"/>
          <w:szCs w:val="20"/>
        </w:rPr>
        <w:t xml:space="preserve"> </w:t>
      </w:r>
      <w:r w:rsidRPr="00BC5C56">
        <w:rPr>
          <w:sz w:val="20"/>
          <w:szCs w:val="20"/>
        </w:rPr>
        <w:t>202</w:t>
      </w:r>
      <w:r>
        <w:rPr>
          <w:sz w:val="20"/>
          <w:szCs w:val="20"/>
        </w:rPr>
        <w:t>1</w:t>
      </w:r>
      <w:r w:rsidRPr="00BC5C56">
        <w:rPr>
          <w:sz w:val="20"/>
          <w:szCs w:val="20"/>
        </w:rPr>
        <w:t xml:space="preserve"> together with the most recent annual report and audited financial statements and if published after such report, a copy of the latest half-yearly report and unaudited financial statements. If you are in any doubt about the contents of this Supplement, you should consult your stockbroker, bank manager, solicitor, </w:t>
      </w:r>
      <w:r w:rsidRPr="00BC5C56">
        <w:rPr>
          <w:sz w:val="20"/>
          <w:szCs w:val="20"/>
        </w:rPr>
        <w:t>accountant</w:t>
      </w:r>
      <w:r w:rsidRPr="00BC5C56">
        <w:rPr>
          <w:sz w:val="20"/>
          <w:szCs w:val="20"/>
        </w:rPr>
        <w:t xml:space="preserve"> or other independent financial adviser.</w:t>
      </w:r>
    </w:p>
    <w:p w:rsidR="0071660E" w:rsidP="0071660E" w14:paraId="1E16A775" w14:textId="77777777">
      <w:pPr>
        <w:pStyle w:val="ssPara1"/>
        <w:rPr>
          <w:color w:val="auto"/>
          <w:sz w:val="20"/>
          <w:szCs w:val="20"/>
          <w:shd w:val="clear" w:color="auto" w:fill="auto"/>
        </w:rPr>
      </w:pPr>
      <w:r w:rsidRPr="00BC5C56">
        <w:rPr>
          <w:sz w:val="20"/>
          <w:szCs w:val="20"/>
        </w:rPr>
        <w:t>To the extent there is any inconsistency between this Supplement and the Prospectus, this Supplement shall prevail. Capitalised terms used and not defined herein shall have the meaning attributed to them in the Prospectus.</w:t>
      </w:r>
    </w:p>
    <w:p w:rsidR="0071660E" w:rsidP="0071660E" w14:paraId="6622E6AE" w14:textId="77777777">
      <w:pPr>
        <w:pStyle w:val="ssPara1"/>
        <w:rPr>
          <w:color w:val="auto"/>
          <w:sz w:val="20"/>
          <w:szCs w:val="20"/>
          <w:shd w:val="clear" w:color="auto" w:fill="auto"/>
        </w:rPr>
      </w:pPr>
      <w:r>
        <w:rPr>
          <w:sz w:val="20"/>
          <w:szCs w:val="20"/>
        </w:rPr>
        <w:t xml:space="preserve">The Fund is actively managed and is not managed </w:t>
      </w:r>
      <w:r>
        <w:rPr>
          <w:sz w:val="20"/>
          <w:szCs w:val="20"/>
        </w:rPr>
        <w:t>in reference to</w:t>
      </w:r>
      <w:r>
        <w:rPr>
          <w:sz w:val="20"/>
          <w:szCs w:val="20"/>
        </w:rPr>
        <w:t xml:space="preserve"> a benchmark. </w:t>
      </w:r>
    </w:p>
    <w:p w:rsidR="0071660E" w:rsidRPr="00706AF6" w:rsidP="0071660E" w14:paraId="63F87D5F" w14:textId="77777777">
      <w:pPr>
        <w:pStyle w:val="ssPara1"/>
        <w:numPr>
          <w:ilvl w:val="0"/>
          <w:numId w:val="21"/>
        </w:numPr>
        <w:rPr>
          <w:b/>
          <w:color w:val="auto"/>
          <w:sz w:val="20"/>
          <w:szCs w:val="20"/>
          <w:shd w:val="clear" w:color="auto" w:fill="auto"/>
        </w:rPr>
      </w:pPr>
      <w:r w:rsidRPr="00706AF6">
        <w:rPr>
          <w:b/>
          <w:sz w:val="20"/>
          <w:szCs w:val="20"/>
        </w:rPr>
        <w:t xml:space="preserve">As dividends may be paid out of the capital of </w:t>
      </w:r>
      <w:r>
        <w:rPr>
          <w:b/>
          <w:sz w:val="20"/>
          <w:szCs w:val="20"/>
        </w:rPr>
        <w:t>the</w:t>
      </w:r>
      <w:r w:rsidRPr="00706AF6">
        <w:rPr>
          <w:b/>
          <w:sz w:val="20"/>
          <w:szCs w:val="20"/>
        </w:rPr>
        <w:t xml:space="preserve"> Fund, there is a greater risk that capital will be eroded and “income” will be achieved by foregoing the potential for future capital growth of Shareholders’ investments and the value of future returns may also be diminished. This cycle may continue until all capital is depleted. Dividends paid out of capital may have different tax implications to dividends paid out of income and investors are recommended to seek their own advice in this regard.</w:t>
      </w:r>
    </w:p>
    <w:p w:rsidR="0071660E" w:rsidRPr="00BC5C56" w:rsidP="0071660E" w14:paraId="4EEE8F63" w14:textId="77777777">
      <w:pPr>
        <w:pStyle w:val="ssPara1"/>
        <w:rPr>
          <w:b/>
          <w:color w:val="auto"/>
          <w:sz w:val="20"/>
          <w:szCs w:val="20"/>
          <w:shd w:val="clear" w:color="auto" w:fill="auto"/>
        </w:rPr>
      </w:pPr>
      <w:r w:rsidRPr="00BC5C56">
        <w:rPr>
          <w:b/>
          <w:sz w:val="20"/>
          <w:szCs w:val="20"/>
        </w:rPr>
        <w:t>Investors should read and consider the section of the Prospectus and this Supplement headed “Risk Factors” before investing in the Fund.</w:t>
      </w:r>
    </w:p>
    <w:p w:rsidR="0071660E" w:rsidRPr="00BC5C56" w:rsidP="0071660E" w14:paraId="30FF95B1" w14:textId="77777777">
      <w:pPr>
        <w:pStyle w:val="Heading2"/>
        <w:rPr>
          <w:color w:val="auto"/>
          <w:sz w:val="20"/>
          <w:szCs w:val="20"/>
          <w:shd w:val="clear" w:color="auto" w:fill="auto"/>
        </w:rPr>
      </w:pPr>
      <w:r w:rsidRPr="00BC5C56">
        <w:rPr>
          <w:sz w:val="20"/>
          <w:szCs w:val="20"/>
        </w:rPr>
        <w:t>Profile of a Typical Investor</w:t>
      </w:r>
    </w:p>
    <w:p w:rsidR="0071660E" w:rsidRPr="00723F12" w:rsidP="0071660E" w14:paraId="581E8123" w14:textId="77777777">
      <w:pPr>
        <w:pStyle w:val="ssPara1"/>
        <w:rPr>
          <w:color w:val="auto"/>
          <w:sz w:val="20"/>
          <w:szCs w:val="20"/>
          <w:shd w:val="clear" w:color="auto" w:fill="auto"/>
        </w:rPr>
      </w:pPr>
      <w:r w:rsidRPr="001831D3">
        <w:rPr>
          <w:sz w:val="20"/>
          <w:szCs w:val="20"/>
        </w:rPr>
        <w:t>The Fund is marketable to both retail and institutional investors but given the specialised nature of the Fund it is only suitable for investors who can invest in the medium to long term and who are prepared to have a medium to high risk investment in their portfolio.</w:t>
      </w:r>
      <w:r>
        <w:rPr>
          <w:sz w:val="20"/>
          <w:szCs w:val="20"/>
        </w:rPr>
        <w:t xml:space="preserve"> </w:t>
      </w:r>
      <w:r w:rsidRPr="00AD0D9A">
        <w:rPr>
          <w:sz w:val="20"/>
          <w:szCs w:val="20"/>
        </w:rPr>
        <w:t>The Fund is suitable for investors who appreciate that global equities can deliver negative as well as positive returns.</w:t>
      </w:r>
      <w:r w:rsidRPr="001831D3">
        <w:rPr>
          <w:sz w:val="20"/>
          <w:szCs w:val="20"/>
        </w:rPr>
        <w:t xml:space="preserve"> </w:t>
      </w:r>
    </w:p>
    <w:p w:rsidR="0071660E" w:rsidRPr="00BC5C56" w:rsidP="0071660E" w14:paraId="254D13C0" w14:textId="77777777">
      <w:pPr>
        <w:pStyle w:val="Heading2"/>
        <w:rPr>
          <w:color w:val="auto"/>
          <w:sz w:val="20"/>
          <w:szCs w:val="20"/>
          <w:shd w:val="clear" w:color="auto" w:fill="auto"/>
        </w:rPr>
      </w:pPr>
      <w:r w:rsidRPr="00BC5C56">
        <w:rPr>
          <w:sz w:val="20"/>
          <w:szCs w:val="20"/>
        </w:rPr>
        <w:t>Responsibility</w:t>
      </w:r>
    </w:p>
    <w:p w:rsidR="0071660E" w:rsidP="0071660E" w14:paraId="18FB8624" w14:textId="77777777">
      <w:pPr>
        <w:pStyle w:val="ssPara1"/>
        <w:rPr>
          <w:color w:val="auto"/>
          <w:sz w:val="20"/>
          <w:szCs w:val="20"/>
          <w:shd w:val="clear" w:color="auto" w:fill="auto"/>
        </w:rPr>
      </w:pPr>
      <w:r w:rsidRPr="00BC5C56">
        <w:rPr>
          <w:sz w:val="20"/>
          <w:szCs w:val="20"/>
        </w:rPr>
        <w:t>The Directors, whose names appear in the section of the Prospectus headed “Directory” accept responsibility for the information contained in the Prospectus and this Supplement. To the best of the knowledge and belief of the Directors (who have taken all reasonable care to ensure that such is the case) the information contained in the Prospectus and this Supplement is in accordance with the facts and does not omit anything likely to affect the import of the information.</w:t>
      </w:r>
    </w:p>
    <w:p w:rsidR="0071660E" w:rsidRPr="00A61E68" w:rsidP="0071660E" w14:paraId="0455E14F" w14:textId="77777777">
      <w:pPr>
        <w:pStyle w:val="Heading2"/>
        <w:rPr>
          <w:rFonts w:ascii="Arial" w:eastAsia="Times New Roman" w:hAnsi="Arial"/>
          <w:color w:val="auto"/>
          <w:sz w:val="20"/>
          <w:szCs w:val="20"/>
          <w:shd w:val="clear" w:color="auto" w:fill="auto"/>
        </w:rPr>
      </w:pPr>
      <w:r w:rsidRPr="00A61E68">
        <w:rPr>
          <w:rFonts w:ascii="Arial" w:eastAsia="Times New Roman" w:hAnsi="Arial"/>
          <w:sz w:val="20"/>
          <w:szCs w:val="20"/>
        </w:rPr>
        <w:t>Status under the EU Sustainable Finance Disclosure Regulation (</w:t>
      </w:r>
      <w:r>
        <w:rPr>
          <w:rFonts w:ascii="Arial" w:eastAsia="Times New Roman" w:hAnsi="Arial"/>
          <w:sz w:val="20"/>
          <w:szCs w:val="20"/>
        </w:rPr>
        <w:t>“</w:t>
      </w:r>
      <w:r w:rsidRPr="00A61E68">
        <w:rPr>
          <w:rFonts w:ascii="Arial" w:eastAsia="Times New Roman" w:hAnsi="Arial"/>
          <w:sz w:val="20"/>
          <w:szCs w:val="20"/>
        </w:rPr>
        <w:t>SFDR</w:t>
      </w:r>
      <w:r>
        <w:rPr>
          <w:rFonts w:ascii="Arial" w:eastAsia="Times New Roman" w:hAnsi="Arial"/>
          <w:sz w:val="20"/>
          <w:szCs w:val="20"/>
        </w:rPr>
        <w:t>”</w:t>
      </w:r>
      <w:r w:rsidRPr="00A61E68">
        <w:rPr>
          <w:rFonts w:ascii="Arial" w:eastAsia="Times New Roman" w:hAnsi="Arial"/>
          <w:sz w:val="20"/>
          <w:szCs w:val="20"/>
        </w:rPr>
        <w:t>)</w:t>
      </w:r>
    </w:p>
    <w:p w:rsidR="0071660E" w:rsidP="0071660E" w14:paraId="6DB13916" w14:textId="77777777">
      <w:pPr>
        <w:widowControl w:val="0"/>
        <w:autoSpaceDE w:val="0"/>
        <w:autoSpaceDN w:val="0"/>
        <w:adjustRightInd w:val="0"/>
        <w:spacing w:after="240"/>
        <w:outlineLvl w:val="0"/>
        <w:rPr>
          <w:rFonts w:ascii="Arial" w:hAnsi="Arial" w:cs="Arial"/>
          <w:color w:val="auto"/>
          <w:sz w:val="20"/>
          <w:szCs w:val="20"/>
          <w:shd w:val="clear" w:color="auto" w:fill="auto"/>
        </w:rPr>
      </w:pPr>
      <w:r w:rsidRPr="00A61E68">
        <w:rPr>
          <w:rFonts w:ascii="Arial" w:hAnsi="Arial" w:cs="Arial"/>
          <w:sz w:val="20"/>
          <w:szCs w:val="20"/>
        </w:rPr>
        <w:t xml:space="preserve">The </w:t>
      </w:r>
      <w:r>
        <w:rPr>
          <w:rFonts w:ascii="Arial" w:hAnsi="Arial" w:cs="Arial"/>
          <w:sz w:val="20"/>
          <w:szCs w:val="20"/>
        </w:rPr>
        <w:t xml:space="preserve">Manager in conjunction with the Investment </w:t>
      </w:r>
      <w:r w:rsidRPr="00A61E68">
        <w:rPr>
          <w:rFonts w:ascii="Arial" w:hAnsi="Arial" w:cs="Arial"/>
          <w:sz w:val="20"/>
          <w:szCs w:val="20"/>
        </w:rPr>
        <w:t>Manager</w:t>
      </w:r>
      <w:r>
        <w:rPr>
          <w:rFonts w:ascii="Arial" w:hAnsi="Arial" w:cs="Arial"/>
          <w:sz w:val="20"/>
          <w:szCs w:val="20"/>
        </w:rPr>
        <w:t xml:space="preserve"> </w:t>
      </w:r>
      <w:r w:rsidRPr="00A61E68">
        <w:rPr>
          <w:rFonts w:ascii="Arial" w:hAnsi="Arial" w:cs="Arial"/>
          <w:sz w:val="20"/>
          <w:szCs w:val="20"/>
        </w:rPr>
        <w:t>has categorised the Fund</w:t>
      </w:r>
      <w:r>
        <w:rPr>
          <w:rFonts w:ascii="Arial" w:hAnsi="Arial" w:cs="Arial"/>
          <w:sz w:val="20"/>
          <w:szCs w:val="20"/>
        </w:rPr>
        <w:t xml:space="preserve"> </w:t>
      </w:r>
      <w:r w:rsidRPr="00A61E68">
        <w:rPr>
          <w:rFonts w:ascii="Arial" w:hAnsi="Arial" w:cs="Arial"/>
          <w:sz w:val="20"/>
          <w:szCs w:val="20"/>
        </w:rPr>
        <w:t xml:space="preserve">as meeting the provisions set out in Article 9 of SFDR for products that have a sustainable investment objective, as further described </w:t>
      </w:r>
      <w:r>
        <w:rPr>
          <w:rFonts w:ascii="Arial" w:hAnsi="Arial" w:cs="Arial"/>
          <w:sz w:val="20"/>
          <w:szCs w:val="20"/>
        </w:rPr>
        <w:t>below</w:t>
      </w:r>
      <w:r w:rsidRPr="00A61E68">
        <w:rPr>
          <w:rFonts w:ascii="Arial" w:hAnsi="Arial" w:cs="Arial"/>
          <w:sz w:val="20"/>
          <w:szCs w:val="20"/>
        </w:rPr>
        <w:t>. Sustainable investment means an investment in an economic activity which: (1) contributes either to an environmental objective or a social objective; (2) does not significantly harm any environmental or social objectives; and (3) the investee company follows good governance practices.</w:t>
      </w:r>
    </w:p>
    <w:p w:rsidR="0071660E" w:rsidRPr="00BC5C56" w:rsidP="0071660E" w14:paraId="42E7F355" w14:textId="77777777">
      <w:pPr>
        <w:pStyle w:val="Heading1"/>
        <w:rPr>
          <w:color w:val="auto"/>
          <w:sz w:val="20"/>
          <w:szCs w:val="20"/>
          <w:shd w:val="clear" w:color="auto" w:fill="auto"/>
        </w:rPr>
      </w:pPr>
      <w:bookmarkStart w:id="3" w:name="_Toc36113824"/>
      <w:bookmarkStart w:id="4" w:name="_Toc49264359"/>
      <w:r w:rsidRPr="00BC5C56">
        <w:rPr>
          <w:sz w:val="20"/>
          <w:szCs w:val="20"/>
        </w:rPr>
        <w:t>Investment Objective</w:t>
      </w:r>
      <w:bookmarkEnd w:id="2"/>
      <w:bookmarkEnd w:id="3"/>
      <w:bookmarkEnd w:id="4"/>
    </w:p>
    <w:p w:rsidR="0071660E" w:rsidRPr="00BC5C56" w:rsidP="0071660E" w14:paraId="576EE4E9" w14:textId="77777777">
      <w:pPr>
        <w:pStyle w:val="ssPara1"/>
        <w:rPr>
          <w:color w:val="auto"/>
          <w:sz w:val="20"/>
          <w:szCs w:val="20"/>
          <w:shd w:val="clear" w:color="auto" w:fill="auto"/>
        </w:rPr>
      </w:pPr>
      <w:r w:rsidRPr="00633F59">
        <w:rPr>
          <w:sz w:val="20"/>
          <w:szCs w:val="20"/>
        </w:rPr>
        <w:t xml:space="preserve">The investment objective of the Fund is to achieve capital growth over 5 years, investing globally in the shares of companies that provide solutions to </w:t>
      </w:r>
      <w:r>
        <w:rPr>
          <w:sz w:val="20"/>
          <w:szCs w:val="20"/>
        </w:rPr>
        <w:t>environmental</w:t>
      </w:r>
      <w:r w:rsidRPr="00633F59">
        <w:rPr>
          <w:sz w:val="20"/>
          <w:szCs w:val="20"/>
        </w:rPr>
        <w:t xml:space="preserve"> challenges and falling within certain sustainable investment themes, as further detailed in the </w:t>
      </w:r>
      <w:r>
        <w:rPr>
          <w:sz w:val="20"/>
          <w:szCs w:val="20"/>
        </w:rPr>
        <w:t>I</w:t>
      </w:r>
      <w:r w:rsidRPr="00633F59">
        <w:rPr>
          <w:sz w:val="20"/>
          <w:szCs w:val="20"/>
        </w:rPr>
        <w:t xml:space="preserve">nvestment </w:t>
      </w:r>
      <w:r>
        <w:rPr>
          <w:sz w:val="20"/>
          <w:szCs w:val="20"/>
        </w:rPr>
        <w:t>S</w:t>
      </w:r>
      <w:r w:rsidRPr="00633F59">
        <w:rPr>
          <w:sz w:val="20"/>
          <w:szCs w:val="20"/>
        </w:rPr>
        <w:t xml:space="preserve">trategy </w:t>
      </w:r>
      <w:r>
        <w:rPr>
          <w:sz w:val="20"/>
          <w:szCs w:val="20"/>
        </w:rPr>
        <w:t xml:space="preserve">section </w:t>
      </w:r>
      <w:r w:rsidRPr="00633F59">
        <w:rPr>
          <w:sz w:val="20"/>
          <w:szCs w:val="20"/>
        </w:rPr>
        <w:t>set out below</w:t>
      </w:r>
      <w:r w:rsidRPr="00DD6D89">
        <w:rPr>
          <w:sz w:val="20"/>
          <w:szCs w:val="20"/>
        </w:rPr>
        <w:t>. There is no guarantee that the Fund will achieve its investment</w:t>
      </w:r>
      <w:r w:rsidRPr="00BC5C56">
        <w:rPr>
          <w:sz w:val="20"/>
          <w:szCs w:val="20"/>
        </w:rPr>
        <w:t xml:space="preserve"> objective.</w:t>
      </w:r>
    </w:p>
    <w:p w:rsidR="0071660E" w:rsidRPr="00BC5C56" w:rsidP="0071660E" w14:paraId="5450A119" w14:textId="77777777">
      <w:pPr>
        <w:pStyle w:val="Heading1"/>
        <w:rPr>
          <w:color w:val="auto"/>
          <w:sz w:val="20"/>
          <w:szCs w:val="20"/>
          <w:shd w:val="clear" w:color="auto" w:fill="auto"/>
        </w:rPr>
      </w:pPr>
      <w:bookmarkStart w:id="5" w:name="_Toc531274410"/>
      <w:bookmarkStart w:id="6" w:name="_Toc36113825"/>
      <w:bookmarkStart w:id="7" w:name="_Toc49264360"/>
      <w:r w:rsidRPr="00BC5C56">
        <w:rPr>
          <w:sz w:val="20"/>
          <w:szCs w:val="20"/>
        </w:rPr>
        <w:t>Investment Policy</w:t>
      </w:r>
      <w:bookmarkEnd w:id="5"/>
      <w:bookmarkEnd w:id="6"/>
      <w:bookmarkEnd w:id="7"/>
    </w:p>
    <w:p w:rsidR="0071660E" w:rsidRPr="001614E2" w:rsidP="0071660E" w14:paraId="34412FD9" w14:textId="77777777">
      <w:pPr>
        <w:autoSpaceDE w:val="0"/>
        <w:autoSpaceDN w:val="0"/>
        <w:adjustRightInd w:val="0"/>
        <w:rPr>
          <w:rFonts w:ascii="Arial" w:hAnsi="Arial"/>
          <w:color w:val="auto"/>
          <w:shd w:val="clear" w:color="auto" w:fill="auto"/>
        </w:rPr>
      </w:pPr>
      <w:r w:rsidRPr="001614E2">
        <w:rPr>
          <w:rFonts w:ascii="Arial" w:eastAsia="Times New Roman" w:hAnsi="Arial"/>
          <w:sz w:val="20"/>
          <w:szCs w:val="20"/>
        </w:rPr>
        <w:t xml:space="preserve">The Fund will invest </w:t>
      </w:r>
      <w:r>
        <w:rPr>
          <w:rFonts w:ascii="Arial" w:eastAsia="Times New Roman" w:hAnsi="Arial"/>
          <w:sz w:val="20"/>
          <w:szCs w:val="20"/>
        </w:rPr>
        <w:t xml:space="preserve">globally </w:t>
      </w:r>
      <w:r w:rsidRPr="001614E2">
        <w:rPr>
          <w:rFonts w:ascii="Arial" w:eastAsia="Times New Roman" w:hAnsi="Arial"/>
          <w:sz w:val="20"/>
          <w:szCs w:val="20"/>
        </w:rPr>
        <w:t>in</w:t>
      </w:r>
      <w:r>
        <w:rPr>
          <w:rFonts w:ascii="Arial" w:eastAsia="Times New Roman" w:hAnsi="Arial"/>
          <w:sz w:val="20"/>
          <w:szCs w:val="20"/>
        </w:rPr>
        <w:t xml:space="preserve"> the</w:t>
      </w:r>
      <w:r w:rsidRPr="001614E2">
        <w:rPr>
          <w:rFonts w:ascii="Arial" w:eastAsia="Times New Roman" w:hAnsi="Arial"/>
          <w:sz w:val="20"/>
          <w:szCs w:val="20"/>
        </w:rPr>
        <w:t xml:space="preserve"> shares </w:t>
      </w:r>
      <w:r>
        <w:rPr>
          <w:rFonts w:ascii="Arial" w:eastAsia="Times New Roman" w:hAnsi="Arial"/>
          <w:sz w:val="20"/>
          <w:szCs w:val="20"/>
        </w:rPr>
        <w:t>of</w:t>
      </w:r>
      <w:r w:rsidRPr="001614E2">
        <w:rPr>
          <w:rFonts w:ascii="Arial" w:eastAsia="Times New Roman" w:hAnsi="Arial"/>
          <w:sz w:val="20"/>
          <w:szCs w:val="20"/>
        </w:rPr>
        <w:t xml:space="preserve"> companies in sectors identified by the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M</w:t>
      </w:r>
      <w:r w:rsidRPr="001614E2">
        <w:rPr>
          <w:rFonts w:ascii="Arial" w:eastAsia="Times New Roman" w:hAnsi="Arial"/>
          <w:sz w:val="20"/>
          <w:szCs w:val="20"/>
        </w:rPr>
        <w:t xml:space="preserve">anager as providing solutions to </w:t>
      </w:r>
      <w:r>
        <w:rPr>
          <w:rFonts w:ascii="Arial" w:eastAsia="Times New Roman" w:hAnsi="Arial"/>
          <w:sz w:val="20"/>
          <w:szCs w:val="20"/>
        </w:rPr>
        <w:t xml:space="preserve">environmental </w:t>
      </w:r>
      <w:r w:rsidRPr="001614E2">
        <w:rPr>
          <w:rFonts w:ascii="Arial" w:eastAsia="Times New Roman" w:hAnsi="Arial"/>
          <w:sz w:val="20"/>
          <w:szCs w:val="20"/>
        </w:rPr>
        <w:t xml:space="preserve">sustainability challenges. There is no predetermined focus on business sector or geography although concentrations </w:t>
      </w:r>
      <w:r>
        <w:rPr>
          <w:rFonts w:ascii="Arial" w:eastAsia="Times New Roman" w:hAnsi="Arial"/>
          <w:sz w:val="20"/>
          <w:szCs w:val="20"/>
        </w:rPr>
        <w:t>may</w:t>
      </w:r>
      <w:r w:rsidRPr="001614E2">
        <w:rPr>
          <w:rFonts w:ascii="Arial" w:eastAsia="Times New Roman" w:hAnsi="Arial"/>
          <w:sz w:val="20"/>
          <w:szCs w:val="20"/>
        </w:rPr>
        <w:t xml:space="preserve"> emerge through stock selection.</w:t>
      </w:r>
    </w:p>
    <w:p w:rsidR="0071660E" w:rsidP="0071660E" w14:paraId="43D563A9" w14:textId="77777777">
      <w:pPr>
        <w:autoSpaceDE w:val="0"/>
        <w:autoSpaceDN w:val="0"/>
        <w:adjustRightInd w:val="0"/>
        <w:rPr>
          <w:rFonts w:ascii="Arial" w:eastAsia="Times New Roman" w:hAnsi="Arial"/>
          <w:color w:val="auto"/>
          <w:sz w:val="20"/>
          <w:szCs w:val="20"/>
          <w:shd w:val="clear" w:color="auto" w:fill="auto"/>
        </w:rPr>
      </w:pPr>
    </w:p>
    <w:p w:rsidR="0071660E" w:rsidRPr="001614E2" w:rsidP="0071660E" w14:paraId="6C5D1D56" w14:textId="77777777">
      <w:pPr>
        <w:autoSpaceDE w:val="0"/>
        <w:autoSpaceDN w:val="0"/>
        <w:adjustRightInd w:val="0"/>
        <w:rPr>
          <w:rFonts w:ascii="Arial" w:hAnsi="Arial"/>
          <w:color w:val="auto"/>
          <w:shd w:val="clear" w:color="auto" w:fill="auto"/>
        </w:rPr>
      </w:pPr>
      <w:r w:rsidRPr="001614E2">
        <w:rPr>
          <w:rFonts w:ascii="Arial" w:eastAsia="Times New Roman" w:hAnsi="Arial"/>
          <w:sz w:val="20"/>
          <w:szCs w:val="20"/>
        </w:rPr>
        <w:t xml:space="preserve">Under normal circumstances, the Fund will hold cash on deposit up to 10% of the </w:t>
      </w:r>
      <w:r>
        <w:rPr>
          <w:rFonts w:ascii="Arial" w:eastAsia="Times New Roman" w:hAnsi="Arial"/>
          <w:sz w:val="20"/>
          <w:szCs w:val="20"/>
        </w:rPr>
        <w:t>Net Asset V</w:t>
      </w:r>
      <w:r w:rsidRPr="001614E2">
        <w:rPr>
          <w:rFonts w:ascii="Arial" w:eastAsia="Times New Roman" w:hAnsi="Arial"/>
          <w:sz w:val="20"/>
          <w:szCs w:val="20"/>
        </w:rPr>
        <w:t xml:space="preserve">alue of the Fund. </w:t>
      </w:r>
    </w:p>
    <w:p w:rsidR="0071660E" w:rsidP="0071660E" w14:paraId="4B3B6F5E" w14:textId="77777777">
      <w:pPr>
        <w:autoSpaceDE w:val="0"/>
        <w:autoSpaceDN w:val="0"/>
        <w:adjustRightInd w:val="0"/>
        <w:rPr>
          <w:rFonts w:ascii="Arial" w:eastAsia="Times New Roman" w:hAnsi="Arial"/>
          <w:color w:val="auto"/>
          <w:sz w:val="20"/>
          <w:szCs w:val="20"/>
          <w:shd w:val="clear" w:color="auto" w:fill="auto"/>
        </w:rPr>
      </w:pPr>
    </w:p>
    <w:p w:rsidR="0071660E" w:rsidP="0071660E" w14:paraId="422C3E31" w14:textId="77777777">
      <w:pPr>
        <w:autoSpaceDE w:val="0"/>
        <w:autoSpaceDN w:val="0"/>
        <w:adjustRightInd w:val="0"/>
        <w:rPr>
          <w:rFonts w:ascii="Arial" w:eastAsia="Times New Roman" w:hAnsi="Arial"/>
          <w:color w:val="auto"/>
          <w:sz w:val="20"/>
          <w:szCs w:val="20"/>
          <w:shd w:val="clear" w:color="auto" w:fill="auto"/>
        </w:rPr>
      </w:pPr>
      <w:r w:rsidRPr="001614E2">
        <w:rPr>
          <w:rFonts w:ascii="Arial" w:eastAsia="Times New Roman" w:hAnsi="Arial"/>
          <w:sz w:val="20"/>
          <w:szCs w:val="20"/>
        </w:rPr>
        <w:t xml:space="preserve">The Fund may also invest in other transferable securities (such as debentures, government </w:t>
      </w:r>
      <w:r>
        <w:rPr>
          <w:rFonts w:ascii="Arial" w:eastAsia="Times New Roman" w:hAnsi="Arial"/>
          <w:sz w:val="20"/>
          <w:szCs w:val="20"/>
        </w:rPr>
        <w:t>securities traded on a Regulated Market</w:t>
      </w:r>
      <w:r w:rsidRPr="001614E2">
        <w:rPr>
          <w:rFonts w:ascii="Arial" w:eastAsia="Times New Roman" w:hAnsi="Arial"/>
          <w:sz w:val="20"/>
          <w:szCs w:val="20"/>
        </w:rPr>
        <w:t xml:space="preserve"> and warrants), money market instruments and near cash (which are non-cash assets that are highly liquid and easily converted to cash, such as savings accounts, certificates of deposit and treasury bills).</w:t>
      </w:r>
      <w:r>
        <w:rPr>
          <w:rFonts w:ascii="Arial" w:eastAsia="Times New Roman" w:hAnsi="Arial"/>
          <w:sz w:val="20"/>
          <w:szCs w:val="20"/>
        </w:rPr>
        <w:t xml:space="preserve"> </w:t>
      </w:r>
      <w:r w:rsidRPr="001614E2">
        <w:rPr>
          <w:rFonts w:ascii="Arial" w:eastAsia="Times New Roman" w:hAnsi="Arial"/>
          <w:sz w:val="20"/>
          <w:szCs w:val="20"/>
        </w:rPr>
        <w:t xml:space="preserve">A money market instrument is a type of investment that is usually issued by banks or governments and is a </w:t>
      </w:r>
      <w:r w:rsidRPr="001614E2">
        <w:rPr>
          <w:rFonts w:ascii="Arial" w:eastAsia="Times New Roman" w:hAnsi="Arial"/>
          <w:sz w:val="20"/>
          <w:szCs w:val="20"/>
        </w:rPr>
        <w:t>short term</w:t>
      </w:r>
      <w:r w:rsidRPr="001614E2">
        <w:rPr>
          <w:rFonts w:ascii="Arial" w:eastAsia="Times New Roman" w:hAnsi="Arial"/>
          <w:sz w:val="20"/>
          <w:szCs w:val="20"/>
        </w:rPr>
        <w:t xml:space="preserve"> loan to the issuer by the buyer. The buyer receives interest and the return of the original amount at the end of a certain period.</w:t>
      </w:r>
    </w:p>
    <w:p w:rsidR="0071660E" w:rsidP="0071660E" w14:paraId="365ABDDC" w14:textId="77777777">
      <w:pPr>
        <w:autoSpaceDE w:val="0"/>
        <w:autoSpaceDN w:val="0"/>
        <w:adjustRightInd w:val="0"/>
        <w:rPr>
          <w:rFonts w:ascii="Arial" w:eastAsia="Times New Roman" w:hAnsi="Arial"/>
          <w:color w:val="auto"/>
          <w:sz w:val="20"/>
          <w:szCs w:val="20"/>
          <w:shd w:val="clear" w:color="auto" w:fill="auto"/>
        </w:rPr>
      </w:pPr>
    </w:p>
    <w:p w:rsidR="0071660E" w:rsidP="0071660E" w14:paraId="52327584" w14:textId="77777777">
      <w:pPr>
        <w:autoSpaceDE w:val="0"/>
        <w:autoSpaceDN w:val="0"/>
        <w:adjustRightInd w:val="0"/>
        <w:rPr>
          <w:rFonts w:ascii="Arial" w:eastAsia="Times New Roman" w:hAnsi="Arial"/>
          <w:color w:val="auto"/>
          <w:sz w:val="20"/>
          <w:szCs w:val="20"/>
          <w:shd w:val="clear" w:color="auto" w:fill="auto"/>
        </w:rPr>
      </w:pPr>
      <w:bookmarkStart w:id="8" w:name="_Hlk51252324"/>
      <w:r w:rsidRPr="0078024B">
        <w:rPr>
          <w:rFonts w:ascii="Arial" w:eastAsia="Times New Roman" w:hAnsi="Arial"/>
          <w:sz w:val="20"/>
          <w:szCs w:val="20"/>
        </w:rPr>
        <w:t>The Fund may also invest in open-ended collective investment schemes ("</w:t>
      </w:r>
      <w:r w:rsidRPr="0055149E">
        <w:rPr>
          <w:rFonts w:ascii="Arial" w:eastAsia="Times New Roman" w:hAnsi="Arial"/>
          <w:b/>
          <w:bCs/>
          <w:sz w:val="20"/>
          <w:szCs w:val="20"/>
        </w:rPr>
        <w:t>CIS</w:t>
      </w:r>
      <w:r w:rsidRPr="0078024B">
        <w:rPr>
          <w:rFonts w:ascii="Arial" w:eastAsia="Times New Roman" w:hAnsi="Arial"/>
          <w:sz w:val="20"/>
          <w:szCs w:val="20"/>
        </w:rPr>
        <w:t xml:space="preserve">") which provide exposure to securities that are consistent with the investment policy of the Fund within the limit on investment in open-ended CIS i.e. no more than 10%, in aggregate, of the Net Asset Value of the Fund. The Sub-Fund </w:t>
      </w:r>
      <w:r>
        <w:rPr>
          <w:rFonts w:ascii="Arial" w:eastAsia="Times New Roman" w:hAnsi="Arial"/>
          <w:sz w:val="20"/>
          <w:szCs w:val="20"/>
        </w:rPr>
        <w:t xml:space="preserve">does not intend to but </w:t>
      </w:r>
      <w:r w:rsidRPr="0078024B">
        <w:rPr>
          <w:rFonts w:ascii="Arial" w:eastAsia="Times New Roman" w:hAnsi="Arial"/>
          <w:sz w:val="20"/>
          <w:szCs w:val="20"/>
        </w:rPr>
        <w:t>may also invest in closed-ended CIS, which qualify as transferable securities for the purposes of the UCITS Regulations. Investment in CIS will be made where it is more efficient and cost effective for the Fund or where direct investment is not available.</w:t>
      </w:r>
    </w:p>
    <w:p w:rsidR="0071660E" w:rsidRPr="001614E2" w:rsidP="0071660E" w14:paraId="74D32590" w14:textId="77777777">
      <w:pPr>
        <w:autoSpaceDE w:val="0"/>
        <w:autoSpaceDN w:val="0"/>
        <w:adjustRightInd w:val="0"/>
        <w:rPr>
          <w:rFonts w:ascii="Arial" w:eastAsia="Times New Roman" w:hAnsi="Arial"/>
          <w:b/>
          <w:bCs/>
          <w:color w:val="auto"/>
          <w:sz w:val="20"/>
          <w:szCs w:val="20"/>
          <w:shd w:val="clear" w:color="auto" w:fill="auto"/>
        </w:rPr>
      </w:pPr>
      <w:bookmarkEnd w:id="8"/>
    </w:p>
    <w:p w:rsidR="0071660E" w:rsidRPr="001614E2" w:rsidP="0071660E" w14:paraId="6354F2A2" w14:textId="77777777">
      <w:pPr>
        <w:autoSpaceDE w:val="0"/>
        <w:autoSpaceDN w:val="0"/>
        <w:adjustRightInd w:val="0"/>
        <w:rPr>
          <w:rFonts w:ascii="Arial" w:hAnsi="Arial"/>
          <w:b/>
          <w:bCs/>
          <w:color w:val="auto"/>
          <w:shd w:val="clear" w:color="auto" w:fill="auto"/>
        </w:rPr>
      </w:pPr>
      <w:r w:rsidRPr="001614E2">
        <w:rPr>
          <w:rFonts w:ascii="Arial" w:eastAsia="Times New Roman" w:hAnsi="Arial"/>
          <w:b/>
          <w:bCs/>
          <w:sz w:val="20"/>
          <w:szCs w:val="20"/>
        </w:rPr>
        <w:t xml:space="preserve">The Fund may use </w:t>
      </w:r>
      <w:r>
        <w:rPr>
          <w:rFonts w:ascii="Arial" w:eastAsia="Times New Roman" w:hAnsi="Arial"/>
          <w:b/>
          <w:bCs/>
          <w:sz w:val="20"/>
          <w:szCs w:val="20"/>
        </w:rPr>
        <w:t xml:space="preserve">financial </w:t>
      </w:r>
      <w:r w:rsidRPr="001614E2">
        <w:rPr>
          <w:rFonts w:ascii="Arial" w:eastAsia="Times New Roman" w:hAnsi="Arial"/>
          <w:b/>
          <w:bCs/>
          <w:sz w:val="20"/>
          <w:szCs w:val="20"/>
        </w:rPr>
        <w:t>derivative</w:t>
      </w:r>
      <w:r>
        <w:rPr>
          <w:rFonts w:ascii="Arial" w:eastAsia="Times New Roman" w:hAnsi="Arial"/>
          <w:b/>
          <w:bCs/>
          <w:sz w:val="20"/>
          <w:szCs w:val="20"/>
        </w:rPr>
        <w:t xml:space="preserve"> instrument</w:t>
      </w:r>
      <w:r w:rsidRPr="001614E2">
        <w:rPr>
          <w:rFonts w:ascii="Arial" w:eastAsia="Times New Roman" w:hAnsi="Arial"/>
          <w:b/>
          <w:bCs/>
          <w:sz w:val="20"/>
          <w:szCs w:val="20"/>
        </w:rPr>
        <w:t xml:space="preserve">s (contracts where the value is linked to the expected future price movements of an underlying asset) for efficient portfolio management. This is </w:t>
      </w:r>
      <w:r w:rsidRPr="001614E2">
        <w:rPr>
          <w:rFonts w:ascii="Arial" w:eastAsia="Times New Roman" w:hAnsi="Arial"/>
          <w:b/>
          <w:bCs/>
          <w:sz w:val="20"/>
          <w:szCs w:val="20"/>
        </w:rPr>
        <w:t>in order to</w:t>
      </w:r>
      <w:r w:rsidRPr="001614E2">
        <w:rPr>
          <w:rFonts w:ascii="Arial" w:eastAsia="Times New Roman" w:hAnsi="Arial"/>
          <w:b/>
          <w:bCs/>
          <w:sz w:val="20"/>
          <w:szCs w:val="20"/>
        </w:rPr>
        <w:t xml:space="preserve"> reduce the Fund’s exposure to risk. </w:t>
      </w:r>
    </w:p>
    <w:p w:rsidR="0071660E" w:rsidP="0071660E" w14:paraId="4CED0B4A" w14:textId="77777777">
      <w:pPr>
        <w:autoSpaceDE w:val="0"/>
        <w:autoSpaceDN w:val="0"/>
        <w:adjustRightInd w:val="0"/>
        <w:rPr>
          <w:rFonts w:ascii="Arial" w:eastAsia="Times New Roman" w:hAnsi="Arial"/>
          <w:color w:val="auto"/>
          <w:sz w:val="20"/>
          <w:szCs w:val="20"/>
          <w:shd w:val="clear" w:color="auto" w:fill="auto"/>
        </w:rPr>
      </w:pPr>
    </w:p>
    <w:p w:rsidR="0071660E" w:rsidRPr="0070654D" w:rsidP="0071660E" w14:paraId="3CD6F8F0" w14:textId="77777777">
      <w:pPr>
        <w:pStyle w:val="Heading1"/>
        <w:rPr>
          <w:color w:val="auto"/>
          <w:sz w:val="20"/>
          <w:szCs w:val="20"/>
          <w:shd w:val="clear" w:color="auto" w:fill="auto"/>
        </w:rPr>
      </w:pPr>
      <w:bookmarkStart w:id="9" w:name="_Toc49264361"/>
      <w:r w:rsidRPr="0070654D">
        <w:rPr>
          <w:sz w:val="20"/>
          <w:szCs w:val="20"/>
        </w:rPr>
        <w:t>Investment Strategy</w:t>
      </w:r>
      <w:bookmarkEnd w:id="9"/>
    </w:p>
    <w:p w:rsidR="0071660E" w:rsidRPr="006C57AA" w:rsidP="0071660E" w14:paraId="1E18EDF9" w14:textId="77777777">
      <w:pPr>
        <w:autoSpaceDE w:val="0"/>
        <w:autoSpaceDN w:val="0"/>
        <w:adjustRightInd w:val="0"/>
        <w:rPr>
          <w:rFonts w:ascii="Arial" w:eastAsia="Times New Roman" w:hAnsi="Arial"/>
          <w:color w:val="auto"/>
          <w:sz w:val="20"/>
          <w:szCs w:val="20"/>
          <w:shd w:val="clear" w:color="auto" w:fill="auto"/>
        </w:rPr>
      </w:pPr>
      <w:r w:rsidRPr="001614E2">
        <w:rPr>
          <w:rFonts w:ascii="Arial" w:eastAsia="Times New Roman" w:hAnsi="Arial"/>
          <w:sz w:val="20"/>
          <w:szCs w:val="20"/>
        </w:rPr>
        <w:t xml:space="preserve">The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M</w:t>
      </w:r>
      <w:r w:rsidRPr="001614E2">
        <w:rPr>
          <w:rFonts w:ascii="Arial" w:eastAsia="Times New Roman" w:hAnsi="Arial"/>
          <w:sz w:val="20"/>
          <w:szCs w:val="20"/>
        </w:rPr>
        <w:t>anager</w:t>
      </w:r>
      <w:r>
        <w:rPr>
          <w:rFonts w:ascii="Arial" w:eastAsia="Times New Roman" w:hAnsi="Arial"/>
          <w:sz w:val="20"/>
          <w:szCs w:val="20"/>
        </w:rPr>
        <w:t xml:space="preserve"> </w:t>
      </w:r>
      <w:r w:rsidRPr="001614E2">
        <w:rPr>
          <w:rFonts w:ascii="Arial" w:eastAsia="Times New Roman" w:hAnsi="Arial"/>
          <w:sz w:val="20"/>
          <w:szCs w:val="20"/>
        </w:rPr>
        <w:t xml:space="preserve">selects shares in companies that provide solutions to </w:t>
      </w:r>
      <w:r>
        <w:rPr>
          <w:rFonts w:ascii="Arial" w:eastAsia="Times New Roman" w:hAnsi="Arial"/>
          <w:sz w:val="20"/>
          <w:szCs w:val="20"/>
        </w:rPr>
        <w:t xml:space="preserve">environmental </w:t>
      </w:r>
      <w:r w:rsidRPr="001614E2">
        <w:rPr>
          <w:rFonts w:ascii="Arial" w:eastAsia="Times New Roman" w:hAnsi="Arial"/>
          <w:sz w:val="20"/>
          <w:szCs w:val="20"/>
        </w:rPr>
        <w:t>challenges falling within certain sustainable investment themes (“</w:t>
      </w:r>
      <w:r w:rsidRPr="0070654D">
        <w:rPr>
          <w:rFonts w:ascii="Arial" w:eastAsia="Times New Roman" w:hAnsi="Arial"/>
          <w:b/>
          <w:bCs/>
          <w:sz w:val="20"/>
          <w:szCs w:val="20"/>
        </w:rPr>
        <w:t>Sustainable Investment Themes</w:t>
      </w:r>
      <w:r w:rsidRPr="001614E2">
        <w:rPr>
          <w:rFonts w:ascii="Arial" w:eastAsia="Times New Roman" w:hAnsi="Arial"/>
          <w:sz w:val="20"/>
          <w:szCs w:val="20"/>
        </w:rPr>
        <w:t xml:space="preserve">”) </w:t>
      </w:r>
      <w:r>
        <w:rPr>
          <w:rFonts w:ascii="Arial" w:eastAsia="Times New Roman" w:hAnsi="Arial"/>
          <w:sz w:val="20"/>
          <w:szCs w:val="20"/>
        </w:rPr>
        <w:t>which are at present:</w:t>
      </w:r>
      <w:r w:rsidRPr="001614E2">
        <w:rPr>
          <w:rFonts w:ascii="Arial" w:eastAsia="Times New Roman" w:hAnsi="Arial"/>
          <w:sz w:val="20"/>
          <w:szCs w:val="20"/>
        </w:rPr>
        <w:t xml:space="preserve"> (1) cleaner energy, (2) environmental services, (3) resource efficiency, (4) sustainable transport</w:t>
      </w:r>
      <w:r>
        <w:rPr>
          <w:rFonts w:ascii="Arial" w:eastAsia="Times New Roman" w:hAnsi="Arial"/>
          <w:sz w:val="20"/>
          <w:szCs w:val="20"/>
        </w:rPr>
        <w:t xml:space="preserve"> and</w:t>
      </w:r>
      <w:r w:rsidRPr="001614E2">
        <w:rPr>
          <w:rFonts w:ascii="Arial" w:eastAsia="Times New Roman" w:hAnsi="Arial"/>
          <w:sz w:val="20"/>
          <w:szCs w:val="20"/>
        </w:rPr>
        <w:t xml:space="preserve"> (5) water management. </w:t>
      </w:r>
      <w:r>
        <w:rPr>
          <w:rFonts w:ascii="Arial" w:eastAsia="Times New Roman" w:hAnsi="Arial"/>
          <w:sz w:val="20"/>
          <w:szCs w:val="20"/>
        </w:rPr>
        <w:t>In order to</w:t>
      </w:r>
      <w:r>
        <w:rPr>
          <w:rFonts w:ascii="Arial" w:eastAsia="Times New Roman" w:hAnsi="Arial"/>
          <w:sz w:val="20"/>
          <w:szCs w:val="20"/>
        </w:rPr>
        <w:t xml:space="preserve"> qualify for investment, </w:t>
      </w:r>
      <w:bookmarkStart w:id="10" w:name="_Hlk75184910"/>
      <w:r>
        <w:rPr>
          <w:rFonts w:ascii="Arial" w:eastAsia="Times New Roman" w:hAnsi="Arial"/>
          <w:sz w:val="20"/>
          <w:szCs w:val="20"/>
        </w:rPr>
        <w:t>a</w:t>
      </w:r>
      <w:r w:rsidRPr="001614E2">
        <w:rPr>
          <w:rFonts w:ascii="Arial" w:eastAsia="Times New Roman" w:hAnsi="Arial"/>
          <w:sz w:val="20"/>
          <w:szCs w:val="20"/>
        </w:rPr>
        <w:t xml:space="preserve">t least half of the </w:t>
      </w:r>
      <w:r>
        <w:rPr>
          <w:rFonts w:ascii="Arial" w:eastAsia="Times New Roman" w:hAnsi="Arial"/>
          <w:sz w:val="20"/>
          <w:szCs w:val="20"/>
        </w:rPr>
        <w:t>company’s</w:t>
      </w:r>
      <w:r w:rsidRPr="001614E2">
        <w:rPr>
          <w:rFonts w:ascii="Arial" w:eastAsia="Times New Roman" w:hAnsi="Arial"/>
          <w:sz w:val="20"/>
          <w:szCs w:val="20"/>
        </w:rPr>
        <w:t xml:space="preserve"> revenues must be derived from </w:t>
      </w:r>
      <w:r>
        <w:rPr>
          <w:rFonts w:ascii="Arial" w:eastAsia="Times New Roman" w:hAnsi="Arial"/>
          <w:sz w:val="20"/>
          <w:szCs w:val="20"/>
        </w:rPr>
        <w:t>products and services</w:t>
      </w:r>
      <w:r w:rsidRPr="001614E2">
        <w:rPr>
          <w:rFonts w:ascii="Arial" w:eastAsia="Times New Roman" w:hAnsi="Arial"/>
          <w:sz w:val="20"/>
          <w:szCs w:val="20"/>
        </w:rPr>
        <w:t xml:space="preserve"> with a positive</w:t>
      </w:r>
      <w:r w:rsidRPr="00403282">
        <w:rPr>
          <w:rFonts w:ascii="Arial" w:eastAsia="Times New Roman" w:hAnsi="Arial"/>
          <w:sz w:val="20"/>
          <w:szCs w:val="20"/>
        </w:rPr>
        <w:t xml:space="preserve"> </w:t>
      </w:r>
      <w:r>
        <w:rPr>
          <w:rFonts w:ascii="Arial" w:eastAsia="Times New Roman" w:hAnsi="Arial"/>
          <w:sz w:val="20"/>
          <w:szCs w:val="20"/>
        </w:rPr>
        <w:t>environmental</w:t>
      </w:r>
      <w:r w:rsidRPr="001614E2">
        <w:rPr>
          <w:rFonts w:ascii="Arial" w:eastAsia="Times New Roman" w:hAnsi="Arial"/>
          <w:sz w:val="20"/>
          <w:szCs w:val="20"/>
        </w:rPr>
        <w:t xml:space="preserve"> impact</w:t>
      </w:r>
      <w:r>
        <w:rPr>
          <w:rFonts w:ascii="Arial" w:eastAsia="Times New Roman" w:hAnsi="Arial"/>
          <w:sz w:val="20"/>
          <w:szCs w:val="20"/>
        </w:rPr>
        <w:t xml:space="preserve"> </w:t>
      </w:r>
      <w:bookmarkEnd w:id="10"/>
      <w:r>
        <w:rPr>
          <w:rFonts w:ascii="Arial" w:eastAsia="Times New Roman" w:hAnsi="Arial"/>
          <w:sz w:val="20"/>
          <w:szCs w:val="20"/>
        </w:rPr>
        <w:t>(as set out below)</w:t>
      </w:r>
      <w:r w:rsidRPr="001614E2">
        <w:rPr>
          <w:rFonts w:ascii="Arial" w:eastAsia="Times New Roman" w:hAnsi="Arial"/>
          <w:sz w:val="20"/>
          <w:szCs w:val="20"/>
        </w:rPr>
        <w:t xml:space="preserve"> </w:t>
      </w:r>
      <w:bookmarkStart w:id="11" w:name="_Hlk75185071"/>
      <w:r w:rsidRPr="001614E2">
        <w:rPr>
          <w:rFonts w:ascii="Arial" w:eastAsia="Times New Roman" w:hAnsi="Arial"/>
          <w:sz w:val="20"/>
          <w:szCs w:val="20"/>
        </w:rPr>
        <w:t xml:space="preserve">related to the </w:t>
      </w:r>
      <w:bookmarkStart w:id="12" w:name="_Hlk75184825"/>
      <w:r w:rsidRPr="001614E2">
        <w:rPr>
          <w:rFonts w:ascii="Arial" w:eastAsia="Times New Roman" w:hAnsi="Arial"/>
          <w:sz w:val="20"/>
          <w:szCs w:val="20"/>
        </w:rPr>
        <w:t>Fund’s Sustainable Investment Themes</w:t>
      </w:r>
      <w:bookmarkEnd w:id="11"/>
      <w:bookmarkEnd w:id="12"/>
      <w:r>
        <w:rPr>
          <w:rFonts w:ascii="Arial" w:eastAsia="Times New Roman" w:hAnsi="Arial"/>
          <w:sz w:val="20"/>
          <w:szCs w:val="20"/>
        </w:rPr>
        <w:t>. This leads to a pool of qualifying companies which is typically less than 500 stocks with less than 20% of the MSCI World Index components qualifying (measured by market capitalisation)</w:t>
      </w:r>
      <w:r w:rsidRPr="001614E2">
        <w:rPr>
          <w:rFonts w:ascii="Arial" w:eastAsia="Times New Roman" w:hAnsi="Arial"/>
          <w:sz w:val="20"/>
          <w:szCs w:val="20"/>
        </w:rPr>
        <w:t>.</w:t>
      </w:r>
    </w:p>
    <w:p w:rsidR="0071660E" w:rsidP="0071660E" w14:paraId="3D6E3AAE" w14:textId="77777777">
      <w:pPr>
        <w:autoSpaceDE w:val="0"/>
        <w:autoSpaceDN w:val="0"/>
        <w:adjustRightInd w:val="0"/>
        <w:rPr>
          <w:rFonts w:ascii="Arial" w:eastAsia="Times New Roman" w:hAnsi="Arial"/>
          <w:color w:val="auto"/>
          <w:sz w:val="20"/>
          <w:szCs w:val="20"/>
          <w:shd w:val="clear" w:color="auto" w:fill="auto"/>
        </w:rPr>
      </w:pPr>
    </w:p>
    <w:p w:rsidR="0071660E" w:rsidP="0071660E" w14:paraId="48CDFB27" w14:textId="77777777">
      <w:pPr>
        <w:autoSpaceDE w:val="0"/>
        <w:autoSpaceDN w:val="0"/>
        <w:adjustRightInd w:val="0"/>
        <w:rPr>
          <w:rFonts w:ascii="Arial" w:eastAsia="Times New Roman" w:hAnsi="Arial"/>
          <w:color w:val="auto"/>
          <w:sz w:val="20"/>
          <w:szCs w:val="20"/>
          <w:shd w:val="clear" w:color="auto" w:fill="auto"/>
        </w:rPr>
      </w:pPr>
      <w:r>
        <w:rPr>
          <w:rFonts w:ascii="Arial" w:eastAsia="Times New Roman" w:hAnsi="Arial"/>
          <w:sz w:val="20"/>
          <w:szCs w:val="20"/>
        </w:rPr>
        <w:t>The Investment Manager</w:t>
      </w:r>
      <w:r w:rsidRPr="0028021F">
        <w:rPr>
          <w:rFonts w:ascii="Arial" w:eastAsia="Times New Roman" w:hAnsi="Arial"/>
          <w:sz w:val="20"/>
          <w:szCs w:val="20"/>
        </w:rPr>
        <w:t xml:space="preserve"> has developed a structured and disciplined investment process which seeks to add value by identifying critical environmental challenges that are facing the global population over the next few decades.  </w:t>
      </w:r>
    </w:p>
    <w:p w:rsidR="0071660E" w:rsidRPr="00017FE3" w:rsidP="0071660E" w14:paraId="2128EE1F" w14:textId="77777777">
      <w:pPr>
        <w:pStyle w:val="ListParagraph"/>
        <w:numPr>
          <w:ilvl w:val="0"/>
          <w:numId w:val="31"/>
        </w:numPr>
        <w:autoSpaceDE w:val="0"/>
        <w:autoSpaceDN w:val="0"/>
        <w:adjustRightInd w:val="0"/>
        <w:rPr>
          <w:rFonts w:ascii="Arial" w:eastAsia="Times New Roman" w:hAnsi="Arial"/>
          <w:color w:val="auto"/>
          <w:sz w:val="20"/>
          <w:szCs w:val="20"/>
          <w:shd w:val="clear" w:color="auto" w:fill="auto"/>
        </w:rPr>
      </w:pPr>
      <w:r w:rsidRPr="00017FE3">
        <w:rPr>
          <w:rFonts w:ascii="Arial" w:eastAsia="Times New Roman" w:hAnsi="Arial"/>
          <w:sz w:val="20"/>
          <w:szCs w:val="20"/>
        </w:rPr>
        <w:t xml:space="preserve">A range of investment themes is derived from this analysis (set out above) which together are used to create an overall investment universe of companies that are deemed by the Investment Manager </w:t>
      </w:r>
      <w:r>
        <w:rPr>
          <w:rFonts w:ascii="Arial" w:eastAsia="Times New Roman" w:hAnsi="Arial"/>
          <w:sz w:val="20"/>
          <w:szCs w:val="20"/>
        </w:rPr>
        <w:t xml:space="preserve">to </w:t>
      </w:r>
      <w:r w:rsidRPr="00017FE3">
        <w:rPr>
          <w:rFonts w:ascii="Arial" w:eastAsia="Times New Roman" w:hAnsi="Arial"/>
          <w:sz w:val="20"/>
          <w:szCs w:val="20"/>
        </w:rPr>
        <w:t xml:space="preserve">provide solutions to these challenges.  </w:t>
      </w:r>
    </w:p>
    <w:p w:rsidR="0071660E" w:rsidRPr="00F04383" w:rsidP="0071660E" w14:paraId="3A43E4C4" w14:textId="77777777">
      <w:pPr>
        <w:pStyle w:val="ListParagraph"/>
        <w:numPr>
          <w:ilvl w:val="0"/>
          <w:numId w:val="31"/>
        </w:numPr>
        <w:autoSpaceDE w:val="0"/>
        <w:autoSpaceDN w:val="0"/>
        <w:adjustRightInd w:val="0"/>
        <w:rPr>
          <w:rFonts w:ascii="Arial" w:eastAsia="Times New Roman" w:hAnsi="Arial"/>
          <w:color w:val="auto"/>
          <w:sz w:val="20"/>
          <w:szCs w:val="20"/>
          <w:shd w:val="clear" w:color="auto" w:fill="auto"/>
        </w:rPr>
      </w:pPr>
      <w:r w:rsidRPr="00F04383">
        <w:rPr>
          <w:rFonts w:ascii="Arial" w:eastAsia="Times New Roman" w:hAnsi="Arial"/>
          <w:sz w:val="20"/>
          <w:szCs w:val="20"/>
        </w:rPr>
        <w:t>From this universe the Investment Manager uses a proprietary methodology to assess the impact ‘intensity’ of a company’s products and services.  The Investment Manager selects stocks it perceives as promising</w:t>
      </w:r>
      <w:r>
        <w:rPr>
          <w:rFonts w:ascii="Arial" w:eastAsia="Times New Roman" w:hAnsi="Arial"/>
          <w:sz w:val="20"/>
          <w:szCs w:val="20"/>
        </w:rPr>
        <w:t xml:space="preserve"> i.e. those companies chosen as part of the universe </w:t>
      </w:r>
      <w:r w:rsidRPr="001614E2">
        <w:rPr>
          <w:rFonts w:ascii="Arial" w:eastAsia="Times New Roman" w:hAnsi="Arial"/>
          <w:sz w:val="20"/>
          <w:szCs w:val="20"/>
        </w:rPr>
        <w:t xml:space="preserve">that provide solutions to </w:t>
      </w:r>
      <w:r>
        <w:rPr>
          <w:rFonts w:ascii="Arial" w:eastAsia="Times New Roman" w:hAnsi="Arial"/>
          <w:sz w:val="20"/>
          <w:szCs w:val="20"/>
        </w:rPr>
        <w:t>environmental</w:t>
      </w:r>
      <w:r w:rsidRPr="001614E2">
        <w:rPr>
          <w:rFonts w:ascii="Arial" w:eastAsia="Times New Roman" w:hAnsi="Arial"/>
          <w:sz w:val="20"/>
          <w:szCs w:val="20"/>
        </w:rPr>
        <w:t xml:space="preserve"> challenges falling within </w:t>
      </w:r>
      <w:r>
        <w:rPr>
          <w:rFonts w:ascii="Arial" w:eastAsia="Times New Roman" w:hAnsi="Arial"/>
          <w:sz w:val="20"/>
          <w:szCs w:val="20"/>
        </w:rPr>
        <w:t>the aforementioned</w:t>
      </w:r>
      <w:r w:rsidRPr="001614E2">
        <w:rPr>
          <w:rFonts w:ascii="Arial" w:eastAsia="Times New Roman" w:hAnsi="Arial"/>
          <w:sz w:val="20"/>
          <w:szCs w:val="20"/>
        </w:rPr>
        <w:t xml:space="preserve"> </w:t>
      </w:r>
      <w:r>
        <w:rPr>
          <w:rFonts w:ascii="Arial" w:eastAsia="Times New Roman" w:hAnsi="Arial"/>
          <w:sz w:val="20"/>
          <w:szCs w:val="20"/>
        </w:rPr>
        <w:t>S</w:t>
      </w:r>
      <w:r w:rsidRPr="001614E2">
        <w:rPr>
          <w:rFonts w:ascii="Arial" w:eastAsia="Times New Roman" w:hAnsi="Arial"/>
          <w:sz w:val="20"/>
          <w:szCs w:val="20"/>
        </w:rPr>
        <w:t xml:space="preserve">ustainable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T</w:t>
      </w:r>
      <w:r w:rsidRPr="001614E2">
        <w:rPr>
          <w:rFonts w:ascii="Arial" w:eastAsia="Times New Roman" w:hAnsi="Arial"/>
          <w:sz w:val="20"/>
          <w:szCs w:val="20"/>
        </w:rPr>
        <w:t>hemes</w:t>
      </w:r>
      <w:r w:rsidRPr="00F04383">
        <w:rPr>
          <w:rFonts w:ascii="Arial" w:eastAsia="Times New Roman" w:hAnsi="Arial"/>
          <w:sz w:val="20"/>
          <w:szCs w:val="20"/>
        </w:rPr>
        <w:t xml:space="preserve">, and analyses the fundamentals of individual companies </w:t>
      </w:r>
      <w:r>
        <w:rPr>
          <w:rFonts w:ascii="Arial" w:eastAsia="Times New Roman" w:hAnsi="Arial"/>
          <w:sz w:val="20"/>
          <w:szCs w:val="20"/>
        </w:rPr>
        <w:t xml:space="preserve">(such as </w:t>
      </w:r>
      <w:r w:rsidRPr="0008013F">
        <w:rPr>
          <w:rFonts w:eastAsia="Times New Roman"/>
          <w:sz w:val="20"/>
          <w:szCs w:val="20"/>
        </w:rPr>
        <w:t>financial information and management commentary, as reported in quarterly or annual statements, press releases or other public venues</w:t>
      </w:r>
      <w:r>
        <w:rPr>
          <w:rFonts w:ascii="Arial" w:eastAsia="Times New Roman" w:hAnsi="Arial"/>
          <w:sz w:val="20"/>
          <w:szCs w:val="20"/>
        </w:rPr>
        <w:t xml:space="preserve">) </w:t>
      </w:r>
      <w:r w:rsidRPr="00F04383">
        <w:rPr>
          <w:rFonts w:ascii="Arial" w:eastAsia="Times New Roman" w:hAnsi="Arial"/>
          <w:sz w:val="20"/>
          <w:szCs w:val="20"/>
        </w:rPr>
        <w:t>to determine the dimensions of their positive environmental product impact</w:t>
      </w:r>
      <w:r>
        <w:rPr>
          <w:rFonts w:ascii="Arial" w:eastAsia="Times New Roman" w:hAnsi="Arial"/>
          <w:sz w:val="20"/>
          <w:szCs w:val="20"/>
        </w:rPr>
        <w:t>.</w:t>
      </w:r>
    </w:p>
    <w:p w:rsidR="0071660E" w:rsidRPr="00017FE3" w:rsidP="0071660E" w14:paraId="59AC144F" w14:textId="77777777">
      <w:pPr>
        <w:pStyle w:val="ListParagraph"/>
        <w:numPr>
          <w:ilvl w:val="0"/>
          <w:numId w:val="31"/>
        </w:numPr>
        <w:autoSpaceDE w:val="0"/>
        <w:autoSpaceDN w:val="0"/>
        <w:adjustRightInd w:val="0"/>
        <w:rPr>
          <w:rFonts w:ascii="Arial" w:eastAsia="Times New Roman" w:hAnsi="Arial"/>
          <w:color w:val="auto"/>
          <w:sz w:val="20"/>
          <w:szCs w:val="20"/>
          <w:shd w:val="clear" w:color="auto" w:fill="auto"/>
        </w:rPr>
      </w:pPr>
      <w:r w:rsidRPr="00017FE3">
        <w:rPr>
          <w:rFonts w:ascii="Arial" w:eastAsia="Times New Roman" w:hAnsi="Arial"/>
          <w:sz w:val="20"/>
          <w:szCs w:val="20"/>
        </w:rPr>
        <w:t>Additionally, the Investment Manager reviews the environmental</w:t>
      </w:r>
      <w:r>
        <w:rPr>
          <w:rFonts w:ascii="Arial" w:eastAsia="Times New Roman" w:hAnsi="Arial"/>
          <w:sz w:val="20"/>
          <w:szCs w:val="20"/>
        </w:rPr>
        <w:t>, social</w:t>
      </w:r>
      <w:r w:rsidRPr="00017FE3">
        <w:rPr>
          <w:rFonts w:ascii="Arial" w:eastAsia="Times New Roman" w:hAnsi="Arial"/>
          <w:sz w:val="20"/>
          <w:szCs w:val="20"/>
        </w:rPr>
        <w:t xml:space="preserve"> and governance</w:t>
      </w:r>
      <w:r>
        <w:rPr>
          <w:rFonts w:ascii="Arial" w:eastAsia="Times New Roman" w:hAnsi="Arial"/>
          <w:sz w:val="20"/>
          <w:szCs w:val="20"/>
        </w:rPr>
        <w:t xml:space="preserve"> (“</w:t>
      </w:r>
      <w:r w:rsidRPr="00DE2F69">
        <w:rPr>
          <w:rFonts w:ascii="Arial" w:eastAsia="Times New Roman" w:hAnsi="Arial"/>
          <w:b/>
          <w:bCs/>
          <w:sz w:val="20"/>
          <w:szCs w:val="20"/>
        </w:rPr>
        <w:t>ESG</w:t>
      </w:r>
      <w:r>
        <w:rPr>
          <w:rFonts w:ascii="Arial" w:eastAsia="Times New Roman" w:hAnsi="Arial"/>
          <w:sz w:val="20"/>
          <w:szCs w:val="20"/>
        </w:rPr>
        <w:t>”)</w:t>
      </w:r>
      <w:r w:rsidRPr="00017FE3">
        <w:rPr>
          <w:rFonts w:ascii="Arial" w:eastAsia="Times New Roman" w:hAnsi="Arial"/>
          <w:sz w:val="20"/>
          <w:szCs w:val="20"/>
        </w:rPr>
        <w:t xml:space="preserve"> quality of </w:t>
      </w:r>
      <w:r w:rsidRPr="00A46746">
        <w:rPr>
          <w:rFonts w:ascii="Arial" w:eastAsia="Times New Roman" w:hAnsi="Arial"/>
          <w:sz w:val="20"/>
          <w:szCs w:val="20"/>
        </w:rPr>
        <w:t>the company’s policies and practices</w:t>
      </w:r>
      <w:r w:rsidRPr="00017FE3">
        <w:rPr>
          <w:rFonts w:ascii="Arial" w:eastAsia="Times New Roman" w:hAnsi="Arial"/>
          <w:sz w:val="20"/>
          <w:szCs w:val="20"/>
        </w:rPr>
        <w:t xml:space="preserve"> as part of its investment process to identify business and management quality. The Investment Manager’s research considers the robustness of core risk management systems, governance processes, the extent of any involvement in controversial issues or activities and overall company alignment with sustainability issues and themes. </w:t>
      </w:r>
    </w:p>
    <w:p w:rsidR="0071660E" w:rsidRPr="00017FE3" w:rsidP="0071660E" w14:paraId="39940420" w14:textId="77777777">
      <w:pPr>
        <w:pStyle w:val="ListParagraph"/>
        <w:numPr>
          <w:ilvl w:val="0"/>
          <w:numId w:val="31"/>
        </w:numPr>
        <w:autoSpaceDE w:val="0"/>
        <w:autoSpaceDN w:val="0"/>
        <w:adjustRightInd w:val="0"/>
        <w:rPr>
          <w:rFonts w:ascii="Arial" w:eastAsia="Times New Roman" w:hAnsi="Arial"/>
          <w:color w:val="auto"/>
          <w:sz w:val="20"/>
          <w:szCs w:val="20"/>
          <w:shd w:val="clear" w:color="auto" w:fill="auto"/>
        </w:rPr>
      </w:pPr>
      <w:r w:rsidRPr="00017FE3">
        <w:rPr>
          <w:rFonts w:ascii="Arial" w:eastAsia="Times New Roman" w:hAnsi="Arial"/>
          <w:sz w:val="20"/>
          <w:szCs w:val="20"/>
        </w:rPr>
        <w:t>Based on th</w:t>
      </w:r>
      <w:r>
        <w:rPr>
          <w:rFonts w:ascii="Arial" w:eastAsia="Times New Roman" w:hAnsi="Arial"/>
          <w:sz w:val="20"/>
          <w:szCs w:val="20"/>
        </w:rPr>
        <w:t>e totality of this</w:t>
      </w:r>
      <w:r w:rsidRPr="00017FE3">
        <w:rPr>
          <w:rFonts w:ascii="Arial" w:eastAsia="Times New Roman" w:hAnsi="Arial"/>
          <w:sz w:val="20"/>
          <w:szCs w:val="20"/>
        </w:rPr>
        <w:t xml:space="preserve"> fundamental analysis, the Investment Manager assesses the company’s quality and suitability for the </w:t>
      </w:r>
      <w:r>
        <w:rPr>
          <w:rFonts w:ascii="Arial" w:eastAsia="Times New Roman" w:hAnsi="Arial"/>
          <w:sz w:val="20"/>
          <w:szCs w:val="20"/>
        </w:rPr>
        <w:t>F</w:t>
      </w:r>
      <w:r w:rsidRPr="00017FE3">
        <w:rPr>
          <w:rFonts w:ascii="Arial" w:eastAsia="Times New Roman" w:hAnsi="Arial"/>
          <w:sz w:val="20"/>
          <w:szCs w:val="20"/>
        </w:rPr>
        <w:t>und</w:t>
      </w:r>
      <w:r>
        <w:rPr>
          <w:rFonts w:ascii="Arial" w:eastAsia="Times New Roman" w:hAnsi="Arial"/>
          <w:sz w:val="20"/>
          <w:szCs w:val="20"/>
        </w:rPr>
        <w:t xml:space="preserve"> ensuring an investment in the company does not significantly harm the environmental or social investment objectives of the Fund. For example, i</w:t>
      </w:r>
      <w:r w:rsidRPr="00017FE3">
        <w:rPr>
          <w:rFonts w:ascii="Arial" w:eastAsia="Times New Roman" w:hAnsi="Arial"/>
          <w:sz w:val="20"/>
          <w:szCs w:val="20"/>
        </w:rPr>
        <w:t xml:space="preserve">f the company is, in the Investment Manager’s view, exposed to excessive reputational risk, or has significant activity in areas that are not consistent with the investment philosophy of the </w:t>
      </w:r>
      <w:r>
        <w:rPr>
          <w:rFonts w:ascii="Arial" w:eastAsia="Times New Roman" w:hAnsi="Arial"/>
          <w:sz w:val="20"/>
          <w:szCs w:val="20"/>
        </w:rPr>
        <w:t>F</w:t>
      </w:r>
      <w:r w:rsidRPr="00017FE3">
        <w:rPr>
          <w:rFonts w:ascii="Arial" w:eastAsia="Times New Roman" w:hAnsi="Arial"/>
          <w:sz w:val="20"/>
          <w:szCs w:val="20"/>
        </w:rPr>
        <w:t>und, then it is unlikely to be selected for investment. Companies with persistently poor practices regarding</w:t>
      </w:r>
      <w:r>
        <w:rPr>
          <w:rFonts w:ascii="Arial" w:eastAsia="Times New Roman" w:hAnsi="Arial"/>
          <w:sz w:val="20"/>
          <w:szCs w:val="20"/>
        </w:rPr>
        <w:t xml:space="preserve"> equal opportunities, human rights and</w:t>
      </w:r>
      <w:r w:rsidRPr="00017FE3">
        <w:rPr>
          <w:rFonts w:ascii="Arial" w:eastAsia="Times New Roman" w:hAnsi="Arial"/>
          <w:sz w:val="20"/>
          <w:szCs w:val="20"/>
        </w:rPr>
        <w:t xml:space="preserve"> environmental management are highly unlikely to be selected for investment. If a company is considered particularly weak on any single metric in our fundamental analysis profile, scoring a zero, it will not be qualified for investment. </w:t>
      </w:r>
    </w:p>
    <w:p w:rsidR="0071660E" w:rsidP="0071660E" w14:paraId="7E6F08E7" w14:textId="77777777">
      <w:pPr>
        <w:autoSpaceDE w:val="0"/>
        <w:autoSpaceDN w:val="0"/>
        <w:adjustRightInd w:val="0"/>
        <w:rPr>
          <w:rFonts w:ascii="Arial" w:eastAsia="Times New Roman" w:hAnsi="Arial"/>
          <w:color w:val="auto"/>
          <w:sz w:val="20"/>
          <w:szCs w:val="20"/>
          <w:shd w:val="clear" w:color="auto" w:fill="auto"/>
        </w:rPr>
      </w:pPr>
    </w:p>
    <w:p w:rsidR="0071660E" w:rsidP="0071660E" w14:paraId="04B5787D" w14:textId="77777777">
      <w:pPr>
        <w:autoSpaceDE w:val="0"/>
        <w:autoSpaceDN w:val="0"/>
        <w:adjustRightInd w:val="0"/>
        <w:rPr>
          <w:rFonts w:ascii="Arial" w:hAnsi="Arial"/>
          <w:color w:val="auto"/>
          <w:sz w:val="20"/>
          <w:shd w:val="clear" w:color="auto" w:fill="auto"/>
        </w:rPr>
      </w:pPr>
      <w:r>
        <w:rPr>
          <w:rFonts w:ascii="Arial" w:hAnsi="Arial"/>
          <w:sz w:val="20"/>
        </w:rPr>
        <w:t xml:space="preserve">Every company in the portfolio goes through the </w:t>
      </w:r>
      <w:r>
        <w:rPr>
          <w:rFonts w:ascii="Arial" w:hAnsi="Arial"/>
          <w:sz w:val="20"/>
        </w:rPr>
        <w:t>aforementioned analytical</w:t>
      </w:r>
      <w:r>
        <w:rPr>
          <w:rFonts w:ascii="Arial" w:hAnsi="Arial"/>
          <w:sz w:val="20"/>
        </w:rPr>
        <w:t xml:space="preserve"> process in order to determine whether the company can be classified as a</w:t>
      </w:r>
      <w:r w:rsidRPr="008D78E5">
        <w:rPr>
          <w:rFonts w:ascii="Arial" w:hAnsi="Arial"/>
          <w:sz w:val="20"/>
        </w:rPr>
        <w:t xml:space="preserve"> sustainable investment under Article 9 of the SFDR</w:t>
      </w:r>
      <w:r>
        <w:rPr>
          <w:rFonts w:ascii="Arial" w:hAnsi="Arial"/>
          <w:sz w:val="20"/>
        </w:rPr>
        <w:t>.</w:t>
      </w:r>
    </w:p>
    <w:p w:rsidR="0071660E" w:rsidP="0071660E" w14:paraId="40DBFC8C" w14:textId="77777777">
      <w:pPr>
        <w:autoSpaceDE w:val="0"/>
        <w:autoSpaceDN w:val="0"/>
        <w:adjustRightInd w:val="0"/>
        <w:rPr>
          <w:rFonts w:ascii="Arial" w:hAnsi="Arial"/>
          <w:color w:val="auto"/>
          <w:sz w:val="20"/>
          <w:shd w:val="clear" w:color="auto" w:fill="auto"/>
        </w:rPr>
      </w:pPr>
    </w:p>
    <w:p w:rsidR="0071660E" w:rsidP="0071660E" w14:paraId="527455FC" w14:textId="77777777">
      <w:pPr>
        <w:autoSpaceDE w:val="0"/>
        <w:autoSpaceDN w:val="0"/>
        <w:adjustRightInd w:val="0"/>
        <w:rPr>
          <w:rFonts w:ascii="Arial" w:eastAsia="Times New Roman" w:hAnsi="Arial"/>
          <w:color w:val="auto"/>
          <w:sz w:val="20"/>
          <w:szCs w:val="20"/>
          <w:shd w:val="clear" w:color="auto" w:fill="auto"/>
        </w:rPr>
      </w:pPr>
      <w:r w:rsidRPr="001614E2">
        <w:rPr>
          <w:rFonts w:ascii="Arial" w:eastAsia="Times New Roman" w:hAnsi="Arial"/>
          <w:sz w:val="20"/>
          <w:szCs w:val="20"/>
        </w:rPr>
        <w:t xml:space="preserve">The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M</w:t>
      </w:r>
      <w:r w:rsidRPr="001614E2">
        <w:rPr>
          <w:rFonts w:ascii="Arial" w:eastAsia="Times New Roman" w:hAnsi="Arial"/>
          <w:sz w:val="20"/>
          <w:szCs w:val="20"/>
        </w:rPr>
        <w:t xml:space="preserve">anager will regularly monitor the companies in which the Fund invests against the above sustainable investment criteria. If it is the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M</w:t>
      </w:r>
      <w:r w:rsidRPr="001614E2">
        <w:rPr>
          <w:rFonts w:ascii="Arial" w:eastAsia="Times New Roman" w:hAnsi="Arial"/>
          <w:sz w:val="20"/>
          <w:szCs w:val="20"/>
        </w:rPr>
        <w:t xml:space="preserve">anager’s opinion that an investee company no longer meets the sustainable investment criteria, the </w:t>
      </w:r>
      <w:r>
        <w:rPr>
          <w:rFonts w:ascii="Arial" w:eastAsia="Times New Roman" w:hAnsi="Arial"/>
          <w:sz w:val="20"/>
          <w:szCs w:val="20"/>
        </w:rPr>
        <w:t>I</w:t>
      </w:r>
      <w:r w:rsidRPr="001614E2">
        <w:rPr>
          <w:rFonts w:ascii="Arial" w:eastAsia="Times New Roman" w:hAnsi="Arial"/>
          <w:sz w:val="20"/>
          <w:szCs w:val="20"/>
        </w:rPr>
        <w:t xml:space="preserve">nvestment </w:t>
      </w:r>
      <w:r>
        <w:rPr>
          <w:rFonts w:ascii="Arial" w:eastAsia="Times New Roman" w:hAnsi="Arial"/>
          <w:sz w:val="20"/>
          <w:szCs w:val="20"/>
        </w:rPr>
        <w:t>M</w:t>
      </w:r>
      <w:r w:rsidRPr="001614E2">
        <w:rPr>
          <w:rFonts w:ascii="Arial" w:eastAsia="Times New Roman" w:hAnsi="Arial"/>
          <w:sz w:val="20"/>
          <w:szCs w:val="20"/>
        </w:rPr>
        <w:t xml:space="preserve">anager will not make any further investments in the company and will seek to realise its investment in such a company in an orderly fashion. </w:t>
      </w:r>
      <w:r w:rsidRPr="008D78E5">
        <w:rPr>
          <w:rFonts w:ascii="Arial" w:eastAsia="Times New Roman" w:hAnsi="Arial"/>
          <w:sz w:val="20"/>
          <w:szCs w:val="20"/>
        </w:rPr>
        <w:t xml:space="preserve">At least 90% of the Fund’s overall equity exposure will be in companies classified </w:t>
      </w:r>
      <w:bookmarkStart w:id="13" w:name="_Hlk79071419"/>
      <w:r w:rsidRPr="008D78E5">
        <w:rPr>
          <w:rFonts w:ascii="Arial" w:eastAsia="Times New Roman" w:hAnsi="Arial"/>
          <w:sz w:val="20"/>
          <w:szCs w:val="20"/>
        </w:rPr>
        <w:t>as sustainable investments under Article 9 of the SFDR</w:t>
      </w:r>
      <w:bookmarkEnd w:id="13"/>
      <w:r w:rsidRPr="008D78E5">
        <w:rPr>
          <w:rFonts w:ascii="Arial" w:eastAsia="Times New Roman" w:hAnsi="Arial"/>
          <w:sz w:val="20"/>
          <w:szCs w:val="20"/>
        </w:rPr>
        <w:t>.</w:t>
      </w:r>
    </w:p>
    <w:p w:rsidR="0071660E" w:rsidP="0071660E" w14:paraId="54137731" w14:textId="77777777">
      <w:pPr>
        <w:autoSpaceDE w:val="0"/>
        <w:autoSpaceDN w:val="0"/>
        <w:adjustRightInd w:val="0"/>
        <w:rPr>
          <w:rFonts w:ascii="Arial" w:eastAsia="Times New Roman" w:hAnsi="Arial"/>
          <w:color w:val="auto"/>
          <w:sz w:val="20"/>
          <w:szCs w:val="20"/>
          <w:shd w:val="clear" w:color="auto" w:fill="auto"/>
        </w:rPr>
      </w:pPr>
    </w:p>
    <w:p w:rsidR="0071660E" w:rsidRPr="003B5435" w:rsidP="0071660E" w14:paraId="09D07A0E" w14:textId="77777777">
      <w:pPr>
        <w:autoSpaceDE w:val="0"/>
        <w:autoSpaceDN w:val="0"/>
        <w:adjustRightInd w:val="0"/>
        <w:rPr>
          <w:rFonts w:ascii="Arial" w:eastAsia="Times New Roman" w:hAnsi="Arial"/>
          <w:color w:val="auto"/>
          <w:sz w:val="20"/>
          <w:szCs w:val="20"/>
          <w:shd w:val="clear" w:color="auto" w:fill="auto"/>
        </w:rPr>
      </w:pPr>
      <w:r w:rsidRPr="003B5435">
        <w:rPr>
          <w:rFonts w:ascii="Arial" w:eastAsia="Times New Roman" w:hAnsi="Arial"/>
          <w:sz w:val="20"/>
          <w:szCs w:val="20"/>
        </w:rPr>
        <w:t>The Investment Manager’s responsible investment policy is integral to the Investment Manager’s investment management activities.  The Investment Manager’s approach can be summarised as follows:</w:t>
      </w:r>
    </w:p>
    <w:p w:rsidR="0071660E" w:rsidRPr="003B5435" w:rsidP="0071660E" w14:paraId="1DE72A1A" w14:textId="77777777">
      <w:pPr>
        <w:pStyle w:val="ListParagraph"/>
        <w:numPr>
          <w:ilvl w:val="0"/>
          <w:numId w:val="34"/>
        </w:numPr>
        <w:autoSpaceDE w:val="0"/>
        <w:autoSpaceDN w:val="0"/>
        <w:adjustRightInd w:val="0"/>
        <w:rPr>
          <w:rFonts w:ascii="Arial" w:eastAsia="Times New Roman" w:hAnsi="Arial"/>
          <w:color w:val="auto"/>
          <w:sz w:val="20"/>
          <w:szCs w:val="20"/>
          <w:shd w:val="clear" w:color="auto" w:fill="auto"/>
        </w:rPr>
      </w:pPr>
      <w:r w:rsidRPr="003B5435">
        <w:rPr>
          <w:rFonts w:ascii="Arial" w:eastAsia="Times New Roman" w:hAnsi="Arial"/>
          <w:sz w:val="20"/>
          <w:szCs w:val="20"/>
        </w:rPr>
        <w:t xml:space="preserve">to integrate </w:t>
      </w:r>
      <w:r>
        <w:rPr>
          <w:rFonts w:ascii="Arial" w:eastAsia="Times New Roman" w:hAnsi="Arial"/>
          <w:sz w:val="20"/>
          <w:szCs w:val="20"/>
        </w:rPr>
        <w:t>ESG</w:t>
      </w:r>
      <w:r w:rsidRPr="003B5435">
        <w:rPr>
          <w:rFonts w:ascii="Arial" w:eastAsia="Times New Roman" w:hAnsi="Arial"/>
          <w:sz w:val="20"/>
          <w:szCs w:val="20"/>
        </w:rPr>
        <w:t xml:space="preserve"> issues into all investment analysis and decision making </w:t>
      </w:r>
      <w:r w:rsidRPr="003B5435">
        <w:rPr>
          <w:rFonts w:ascii="Arial" w:eastAsia="Times New Roman" w:hAnsi="Arial"/>
          <w:sz w:val="20"/>
          <w:szCs w:val="20"/>
        </w:rPr>
        <w:t>processes;</w:t>
      </w:r>
    </w:p>
    <w:p w:rsidR="0071660E" w:rsidRPr="003B5435" w:rsidP="0071660E" w14:paraId="4846F811" w14:textId="77777777">
      <w:pPr>
        <w:pStyle w:val="ListParagraph"/>
        <w:numPr>
          <w:ilvl w:val="0"/>
          <w:numId w:val="34"/>
        </w:numPr>
        <w:autoSpaceDE w:val="0"/>
        <w:autoSpaceDN w:val="0"/>
        <w:adjustRightInd w:val="0"/>
        <w:rPr>
          <w:rFonts w:ascii="Arial" w:eastAsia="Times New Roman" w:hAnsi="Arial"/>
          <w:color w:val="auto"/>
          <w:sz w:val="20"/>
          <w:szCs w:val="20"/>
          <w:shd w:val="clear" w:color="auto" w:fill="auto"/>
        </w:rPr>
      </w:pPr>
      <w:r w:rsidRPr="003B5435">
        <w:rPr>
          <w:rFonts w:ascii="Arial" w:eastAsia="Times New Roman" w:hAnsi="Arial"/>
          <w:sz w:val="20"/>
          <w:szCs w:val="20"/>
        </w:rPr>
        <w:t xml:space="preserve">be active owners and engage with companies and wider stakeholders to encourage a more progressive approach to key </w:t>
      </w:r>
      <w:r>
        <w:rPr>
          <w:rFonts w:ascii="Arial" w:eastAsia="Times New Roman" w:hAnsi="Arial"/>
          <w:sz w:val="20"/>
          <w:szCs w:val="20"/>
        </w:rPr>
        <w:t>ESG</w:t>
      </w:r>
      <w:r w:rsidRPr="003B5435">
        <w:rPr>
          <w:rFonts w:ascii="Arial" w:eastAsia="Times New Roman" w:hAnsi="Arial"/>
          <w:sz w:val="20"/>
          <w:szCs w:val="20"/>
        </w:rPr>
        <w:t xml:space="preserve"> </w:t>
      </w:r>
      <w:r w:rsidRPr="003B5435">
        <w:rPr>
          <w:rFonts w:ascii="Arial" w:eastAsia="Times New Roman" w:hAnsi="Arial"/>
          <w:sz w:val="20"/>
          <w:szCs w:val="20"/>
        </w:rPr>
        <w:t>issues;</w:t>
      </w:r>
    </w:p>
    <w:p w:rsidR="0071660E" w:rsidRPr="003B5435" w:rsidP="0071660E" w14:paraId="65A78F19" w14:textId="77777777">
      <w:pPr>
        <w:pStyle w:val="ListParagraph"/>
        <w:numPr>
          <w:ilvl w:val="0"/>
          <w:numId w:val="34"/>
        </w:numPr>
        <w:autoSpaceDE w:val="0"/>
        <w:autoSpaceDN w:val="0"/>
        <w:adjustRightInd w:val="0"/>
        <w:rPr>
          <w:rFonts w:ascii="Arial" w:eastAsia="Times New Roman" w:hAnsi="Arial"/>
          <w:color w:val="auto"/>
          <w:sz w:val="20"/>
          <w:szCs w:val="20"/>
          <w:shd w:val="clear" w:color="auto" w:fill="auto"/>
        </w:rPr>
      </w:pPr>
      <w:r w:rsidRPr="003B5435">
        <w:rPr>
          <w:rFonts w:ascii="Arial" w:eastAsia="Times New Roman" w:hAnsi="Arial"/>
          <w:sz w:val="20"/>
          <w:szCs w:val="20"/>
        </w:rPr>
        <w:t xml:space="preserve">to encourage appropriate disclosure on </w:t>
      </w:r>
      <w:r>
        <w:rPr>
          <w:rFonts w:ascii="Arial" w:eastAsia="Times New Roman" w:hAnsi="Arial"/>
          <w:sz w:val="20"/>
          <w:szCs w:val="20"/>
        </w:rPr>
        <w:t xml:space="preserve">ESG </w:t>
      </w:r>
      <w:r w:rsidRPr="003B5435">
        <w:rPr>
          <w:rFonts w:ascii="Arial" w:eastAsia="Times New Roman" w:hAnsi="Arial"/>
          <w:sz w:val="20"/>
          <w:szCs w:val="20"/>
        </w:rPr>
        <w:t>issues by the entities in which it invests.</w:t>
      </w:r>
    </w:p>
    <w:p w:rsidR="0071660E" w:rsidRPr="00E553FC" w:rsidP="0071660E" w14:paraId="682993A3" w14:textId="77777777">
      <w:pPr>
        <w:pStyle w:val="ListParagraph"/>
        <w:autoSpaceDE w:val="0"/>
        <w:autoSpaceDN w:val="0"/>
        <w:adjustRightInd w:val="0"/>
        <w:rPr>
          <w:rFonts w:ascii="Arial" w:eastAsia="Times New Roman" w:hAnsi="Arial"/>
          <w:color w:val="auto"/>
          <w:sz w:val="20"/>
          <w:szCs w:val="20"/>
          <w:shd w:val="clear" w:color="auto" w:fill="auto"/>
        </w:rPr>
      </w:pPr>
    </w:p>
    <w:p w:rsidR="0071660E" w:rsidRPr="00E669D3" w:rsidP="0071660E" w14:paraId="1E11C117" w14:textId="77777777">
      <w:pPr>
        <w:autoSpaceDE w:val="0"/>
        <w:autoSpaceDN w:val="0"/>
        <w:adjustRightInd w:val="0"/>
        <w:rPr>
          <w:rFonts w:ascii="Arial" w:eastAsia="Times New Roman" w:hAnsi="Arial"/>
          <w:color w:val="auto"/>
          <w:sz w:val="20"/>
          <w:szCs w:val="20"/>
          <w:shd w:val="clear" w:color="auto" w:fill="auto"/>
        </w:rPr>
      </w:pPr>
      <w:r w:rsidRPr="00E669D3">
        <w:rPr>
          <w:rFonts w:ascii="Arial" w:eastAsia="Times New Roman" w:hAnsi="Arial"/>
          <w:sz w:val="20"/>
          <w:szCs w:val="20"/>
        </w:rPr>
        <w:t xml:space="preserve">The Investment Manager aims to be innovative and transparent in the execution of its responsible investment policy with extensive public reporting and regular and frequent review of its approach and performance.  </w:t>
      </w:r>
    </w:p>
    <w:p w:rsidR="0071660E" w:rsidRPr="00E553FC" w:rsidP="0071660E" w14:paraId="2A293FE9" w14:textId="77777777">
      <w:pPr>
        <w:autoSpaceDE w:val="0"/>
        <w:autoSpaceDN w:val="0"/>
        <w:adjustRightInd w:val="0"/>
        <w:rPr>
          <w:rFonts w:ascii="Arial" w:eastAsia="Times New Roman" w:hAnsi="Arial"/>
          <w:color w:val="auto"/>
          <w:sz w:val="20"/>
          <w:szCs w:val="20"/>
          <w:shd w:val="clear" w:color="auto" w:fill="auto"/>
        </w:rPr>
      </w:pPr>
    </w:p>
    <w:p w:rsidR="0071660E" w:rsidP="0071660E" w14:paraId="0B859C19" w14:textId="77777777">
      <w:pPr>
        <w:autoSpaceDE w:val="0"/>
        <w:autoSpaceDN w:val="0"/>
        <w:adjustRightInd w:val="0"/>
        <w:rPr>
          <w:rFonts w:ascii="Arial" w:eastAsia="Times New Roman" w:hAnsi="Arial"/>
          <w:color w:val="auto"/>
          <w:sz w:val="20"/>
          <w:szCs w:val="20"/>
          <w:shd w:val="clear" w:color="auto" w:fill="auto"/>
        </w:rPr>
      </w:pPr>
      <w:r w:rsidRPr="00BC5C56">
        <w:rPr>
          <w:rFonts w:ascii="Arial" w:eastAsia="Times New Roman" w:hAnsi="Arial"/>
          <w:sz w:val="20"/>
          <w:szCs w:val="20"/>
        </w:rPr>
        <w:t>Target companies will be listed on or dealt in a Regulated Market (details of which are set out in Schedule 1 to the Prospectus).</w:t>
      </w:r>
    </w:p>
    <w:p w:rsidR="0071660E" w:rsidP="0071660E" w14:paraId="1FC22561" w14:textId="77777777">
      <w:pPr>
        <w:autoSpaceDE w:val="0"/>
        <w:autoSpaceDN w:val="0"/>
        <w:adjustRightInd w:val="0"/>
        <w:rPr>
          <w:rFonts w:ascii="Arial" w:eastAsia="Times New Roman" w:hAnsi="Arial"/>
          <w:color w:val="auto"/>
          <w:sz w:val="20"/>
          <w:szCs w:val="20"/>
          <w:shd w:val="clear" w:color="auto" w:fill="auto"/>
        </w:rPr>
      </w:pPr>
    </w:p>
    <w:p w:rsidR="0071660E" w:rsidP="0071660E" w14:paraId="7620B9D9" w14:textId="77777777">
      <w:pPr>
        <w:rPr>
          <w:rFonts w:ascii="Arial" w:eastAsia="Times New Roman" w:hAnsi="Arial"/>
          <w:color w:val="auto"/>
          <w:sz w:val="20"/>
          <w:szCs w:val="20"/>
          <w:shd w:val="clear" w:color="auto" w:fill="auto"/>
        </w:rPr>
      </w:pPr>
      <w:r w:rsidRPr="00BC5C56">
        <w:rPr>
          <w:rFonts w:ascii="Arial" w:eastAsia="Times New Roman" w:hAnsi="Arial"/>
          <w:sz w:val="20"/>
          <w:szCs w:val="20"/>
        </w:rPr>
        <w:t xml:space="preserve">The Fund may invest no more than 10% of the Net Asset Value in other collective investment schemes. Such collective investment schemes will be UCITS, non-UCITS and/or exchange-traded funds. </w:t>
      </w:r>
    </w:p>
    <w:p w:rsidR="0071660E" w:rsidRPr="00BC5C56" w:rsidP="0071660E" w14:paraId="6086C233" w14:textId="77777777">
      <w:pPr>
        <w:rPr>
          <w:rFonts w:ascii="Arial" w:eastAsia="Times New Roman" w:hAnsi="Arial"/>
          <w:color w:val="auto"/>
          <w:sz w:val="20"/>
          <w:szCs w:val="20"/>
          <w:shd w:val="clear" w:color="auto" w:fill="auto"/>
        </w:rPr>
      </w:pPr>
    </w:p>
    <w:p w:rsidR="0071660E" w:rsidRPr="00BC5C56" w:rsidP="0071660E" w14:paraId="2CD50ED9" w14:textId="77777777">
      <w:pPr>
        <w:pStyle w:val="Heading1"/>
        <w:rPr>
          <w:rFonts w:ascii="Arial" w:eastAsia="Times New Roman" w:hAnsi="Arial"/>
          <w:color w:val="auto"/>
          <w:sz w:val="20"/>
          <w:szCs w:val="20"/>
          <w:shd w:val="clear" w:color="auto" w:fill="auto"/>
        </w:rPr>
      </w:pPr>
      <w:bookmarkStart w:id="14" w:name="_Toc36113828"/>
      <w:bookmarkStart w:id="15" w:name="_Toc49264363"/>
      <w:r w:rsidRPr="00BC5C56">
        <w:rPr>
          <w:rFonts w:ascii="Arial" w:eastAsia="Times New Roman" w:hAnsi="Arial"/>
          <w:sz w:val="20"/>
          <w:szCs w:val="20"/>
        </w:rPr>
        <w:t>Securities Financing/Efficient Portfolio Management/FDI</w:t>
      </w:r>
      <w:bookmarkEnd w:id="14"/>
      <w:bookmarkEnd w:id="15"/>
    </w:p>
    <w:p w:rsidR="0071660E" w:rsidRPr="00BC5C56" w:rsidP="0071660E" w14:paraId="04A75907" w14:textId="77777777">
      <w:pPr>
        <w:pStyle w:val="ssPara1"/>
        <w:rPr>
          <w:color w:val="auto"/>
          <w:sz w:val="20"/>
          <w:szCs w:val="20"/>
          <w:shd w:val="clear" w:color="auto" w:fill="auto"/>
        </w:rPr>
      </w:pPr>
      <w:r w:rsidRPr="00BC5C56">
        <w:rPr>
          <w:rFonts w:asciiTheme="majorHAnsi" w:hAnsiTheme="majorHAnsi"/>
          <w:sz w:val="20"/>
          <w:szCs w:val="20"/>
        </w:rPr>
        <w:t>The</w:t>
      </w:r>
      <w:r w:rsidRPr="00BC5C56">
        <w:rPr>
          <w:sz w:val="20"/>
          <w:szCs w:val="20"/>
        </w:rPr>
        <w:t xml:space="preserve"> Fund shall not </w:t>
      </w:r>
      <w:r w:rsidRPr="00BC5C56">
        <w:rPr>
          <w:sz w:val="20"/>
          <w:szCs w:val="20"/>
        </w:rPr>
        <w:t>enter into</w:t>
      </w:r>
      <w:r w:rsidRPr="00BC5C56">
        <w:rPr>
          <w:sz w:val="20"/>
          <w:szCs w:val="20"/>
        </w:rPr>
        <w:t xml:space="preserve"> any securities lending, repurchase / reverse repurchase arrangements or any total return swaps. In the event </w:t>
      </w:r>
      <w:r w:rsidRPr="00BC5C56">
        <w:rPr>
          <w:sz w:val="20"/>
          <w:szCs w:val="20"/>
        </w:rPr>
        <w:t>this changes</w:t>
      </w:r>
      <w:r w:rsidRPr="00BC5C56">
        <w:rPr>
          <w:sz w:val="20"/>
          <w:szCs w:val="20"/>
        </w:rPr>
        <w:t>, the Supplement will be updated in accordance with the requirements of the Central Bank, the UCITS Rules and the SFT Regulations.</w:t>
      </w:r>
    </w:p>
    <w:p w:rsidR="0071660E" w:rsidRPr="00BC5C56" w:rsidP="0071660E" w14:paraId="230F0BE1" w14:textId="77777777">
      <w:pPr>
        <w:pStyle w:val="ssPara1"/>
        <w:rPr>
          <w:color w:val="auto"/>
          <w:sz w:val="20"/>
          <w:szCs w:val="20"/>
          <w:shd w:val="clear" w:color="auto" w:fill="auto"/>
        </w:rPr>
      </w:pPr>
      <w:r w:rsidRPr="00BC5C56">
        <w:rPr>
          <w:sz w:val="20"/>
          <w:szCs w:val="20"/>
        </w:rPr>
        <w:t xml:space="preserve">It is also not intended that the Fund invest in FDI as a direct investment. However, the Fund will </w:t>
      </w:r>
      <w:r w:rsidRPr="00BC5C56">
        <w:rPr>
          <w:sz w:val="20"/>
          <w:szCs w:val="20"/>
        </w:rPr>
        <w:t>enter into</w:t>
      </w:r>
      <w:r w:rsidRPr="00BC5C56">
        <w:rPr>
          <w:sz w:val="20"/>
          <w:szCs w:val="20"/>
        </w:rPr>
        <w:t xml:space="preserve"> forward foreign exchange contracts for hedging purposes or for the purposes of efficient portfolio management. Please see below for further information. In this regard, the Fund employs a Risk Management Process which enables it to accurately measure, monitor and manage the various risks associated with forward foreign exchange contracts. The ICAV will use the commitment approach for the purpose of calculating global exposure in respect of the Fund. Responsibility for the Risk Management Process lies with the Manager who has delegated the day-to-day responsibilities, including oversight and reporting, to the Investment Manager. The Manager will notify the </w:t>
      </w:r>
      <w:r>
        <w:rPr>
          <w:sz w:val="20"/>
          <w:szCs w:val="20"/>
        </w:rPr>
        <w:t>Central Bank</w:t>
      </w:r>
      <w:r w:rsidRPr="00BC5C56">
        <w:rPr>
          <w:sz w:val="20"/>
          <w:szCs w:val="20"/>
        </w:rPr>
        <w:t xml:space="preserve"> of any material amendments to the Risk Management Process in advance of any such amendment being made.</w:t>
      </w:r>
    </w:p>
    <w:p w:rsidR="0071660E" w:rsidRPr="00BC5C56" w:rsidP="0071660E" w14:paraId="13478245" w14:textId="77777777">
      <w:pPr>
        <w:pStyle w:val="ssNoHeading2"/>
        <w:rPr>
          <w:color w:val="auto"/>
          <w:sz w:val="20"/>
          <w:szCs w:val="20"/>
          <w:shd w:val="clear" w:color="auto" w:fill="auto"/>
        </w:rPr>
      </w:pPr>
      <w:r w:rsidRPr="00BC5C56">
        <w:rPr>
          <w:sz w:val="20"/>
          <w:szCs w:val="20"/>
        </w:rPr>
        <w:t>Share Classes</w:t>
      </w:r>
    </w:p>
    <w:p w:rsidR="0071660E" w:rsidRPr="00BC5C56" w:rsidP="0071660E" w14:paraId="395D4824" w14:textId="77777777">
      <w:pPr>
        <w:pStyle w:val="ssPara1"/>
        <w:rPr>
          <w:color w:val="auto"/>
          <w:sz w:val="20"/>
          <w:szCs w:val="20"/>
          <w:shd w:val="clear" w:color="auto" w:fill="auto"/>
        </w:rPr>
      </w:pPr>
      <w:r w:rsidRPr="00BC5C56">
        <w:rPr>
          <w:sz w:val="20"/>
          <w:szCs w:val="20"/>
        </w:rPr>
        <w:t>The Fund has established unhedged Share Classes, as detailed in the Share Class table in Section 11.</w:t>
      </w:r>
    </w:p>
    <w:p w:rsidR="0071660E" w:rsidRPr="00BC5C56" w:rsidP="0071660E" w14:paraId="4AA553F6" w14:textId="77777777">
      <w:pPr>
        <w:pStyle w:val="ssPara1"/>
        <w:rPr>
          <w:color w:val="auto"/>
          <w:sz w:val="20"/>
          <w:szCs w:val="20"/>
          <w:shd w:val="clear" w:color="auto" w:fill="auto"/>
        </w:rPr>
      </w:pPr>
      <w:r>
        <w:rPr>
          <w:sz w:val="20"/>
          <w:szCs w:val="20"/>
        </w:rPr>
        <w:t>A</w:t>
      </w:r>
      <w:r w:rsidRPr="00BC5C56">
        <w:rPr>
          <w:sz w:val="20"/>
          <w:szCs w:val="20"/>
        </w:rPr>
        <w:t xml:space="preserve"> currency conversion will take place on subscriptions, </w:t>
      </w:r>
      <w:r w:rsidRPr="00BC5C56">
        <w:rPr>
          <w:sz w:val="20"/>
          <w:szCs w:val="20"/>
        </w:rPr>
        <w:t>redemptions</w:t>
      </w:r>
      <w:r>
        <w:rPr>
          <w:sz w:val="20"/>
          <w:szCs w:val="20"/>
        </w:rPr>
        <w:t xml:space="preserve"> and </w:t>
      </w:r>
      <w:r w:rsidRPr="00BC5C56">
        <w:rPr>
          <w:sz w:val="20"/>
          <w:szCs w:val="20"/>
        </w:rPr>
        <w:t>switches at prevailing exchange rates. The value of the Shares expressed in the Currency Share Class will be subject to exchange rate risk in relation to the Base Currency.</w:t>
      </w:r>
    </w:p>
    <w:p w:rsidR="0071660E" w:rsidRPr="00BC5C56" w:rsidP="0071660E" w14:paraId="4392D7C3" w14:textId="77777777">
      <w:pPr>
        <w:pStyle w:val="ssPara1"/>
        <w:rPr>
          <w:color w:val="auto"/>
          <w:sz w:val="20"/>
          <w:szCs w:val="20"/>
          <w:shd w:val="clear" w:color="auto" w:fill="auto"/>
        </w:rPr>
      </w:pPr>
      <w:r w:rsidRPr="00BC5C56">
        <w:rPr>
          <w:sz w:val="20"/>
          <w:szCs w:val="20"/>
        </w:rPr>
        <w:t>Please refer to the sections entitled “Share Class Hedging” and “Risk Factors” in the Prospectus for further information.</w:t>
      </w:r>
    </w:p>
    <w:p w:rsidR="0071660E" w:rsidRPr="00BC5C56" w:rsidP="0071660E" w14:paraId="736C340C" w14:textId="77777777">
      <w:pPr>
        <w:pStyle w:val="Heading1"/>
        <w:rPr>
          <w:rFonts w:cs="Arial"/>
          <w:color w:val="auto"/>
          <w:sz w:val="20"/>
          <w:szCs w:val="20"/>
          <w:shd w:val="clear" w:color="auto" w:fill="auto"/>
        </w:rPr>
      </w:pPr>
      <w:bookmarkStart w:id="16" w:name="_Toc36113829"/>
      <w:bookmarkStart w:id="17" w:name="_Toc49264364"/>
      <w:bookmarkStart w:id="18" w:name="_Toc531267276"/>
      <w:bookmarkStart w:id="19" w:name="_Toc531274411"/>
      <w:r w:rsidRPr="00BC5C56">
        <w:rPr>
          <w:rFonts w:cs="Arial"/>
          <w:sz w:val="20"/>
          <w:szCs w:val="20"/>
        </w:rPr>
        <w:t>Investment Restrictions of the Fund</w:t>
      </w:r>
      <w:bookmarkEnd w:id="16"/>
      <w:bookmarkEnd w:id="17"/>
    </w:p>
    <w:p w:rsidR="0071660E" w:rsidRPr="00BC5C56" w:rsidP="0071660E" w14:paraId="191592E5" w14:textId="77777777">
      <w:pPr>
        <w:pStyle w:val="ssPara1"/>
        <w:rPr>
          <w:color w:val="auto"/>
          <w:sz w:val="20"/>
          <w:szCs w:val="20"/>
          <w:shd w:val="clear" w:color="auto" w:fill="auto"/>
        </w:rPr>
      </w:pPr>
      <w:r w:rsidRPr="00BC5C56">
        <w:rPr>
          <w:sz w:val="20"/>
          <w:szCs w:val="20"/>
        </w:rPr>
        <w:t>The ICAV and the Fund adhere to the restrictions and requirements set out under the UCITS Regulations, as may be amended from time to time. The investment restrictions are set out in Schedule 3 to the Prospectus.</w:t>
      </w:r>
    </w:p>
    <w:p w:rsidR="0071660E" w:rsidRPr="00BC5C56" w:rsidP="0071660E" w14:paraId="6BB10945" w14:textId="77777777">
      <w:pPr>
        <w:pStyle w:val="ssPara1"/>
        <w:rPr>
          <w:color w:val="auto"/>
          <w:sz w:val="20"/>
          <w:szCs w:val="20"/>
          <w:shd w:val="clear" w:color="auto" w:fill="auto"/>
        </w:rPr>
      </w:pPr>
      <w:r w:rsidRPr="00BC5C56">
        <w:rPr>
          <w:sz w:val="20"/>
          <w:szCs w:val="20"/>
        </w:rPr>
        <w:t>In accordance with the Central Bank Regulations, the Fund will apply for a derogation from some of the investment restrictions for six months from the date of approval of the Fund pursuant to the UCITS Regulations but will observe the principle of risk-spreading.</w:t>
      </w:r>
    </w:p>
    <w:p w:rsidR="0071660E" w:rsidRPr="00BC5C56" w:rsidP="0071660E" w14:paraId="01BD911C" w14:textId="77777777">
      <w:pPr>
        <w:pStyle w:val="Heading1"/>
        <w:rPr>
          <w:color w:val="auto"/>
          <w:sz w:val="20"/>
          <w:szCs w:val="20"/>
          <w:shd w:val="clear" w:color="auto" w:fill="auto"/>
        </w:rPr>
      </w:pPr>
      <w:bookmarkStart w:id="20" w:name="_Toc36113830"/>
      <w:bookmarkStart w:id="21" w:name="_Toc49264365"/>
      <w:r w:rsidRPr="00BC5C56">
        <w:rPr>
          <w:sz w:val="20"/>
          <w:szCs w:val="20"/>
        </w:rPr>
        <w:t>Investment Manager</w:t>
      </w:r>
      <w:bookmarkEnd w:id="20"/>
      <w:bookmarkEnd w:id="21"/>
    </w:p>
    <w:p w:rsidR="0071660E" w:rsidRPr="00BC5C56" w:rsidP="0071660E" w14:paraId="60748828" w14:textId="77777777">
      <w:pPr>
        <w:pStyle w:val="ssPara1"/>
        <w:rPr>
          <w:color w:val="auto"/>
          <w:sz w:val="20"/>
          <w:szCs w:val="20"/>
          <w:shd w:val="clear" w:color="auto" w:fill="auto"/>
        </w:rPr>
      </w:pPr>
      <w:r w:rsidRPr="00BC5C56">
        <w:rPr>
          <w:sz w:val="20"/>
          <w:szCs w:val="20"/>
        </w:rPr>
        <w:t>The Manager has appointed WHEB Asset Management LLP (the “</w:t>
      </w:r>
      <w:r w:rsidRPr="0055149E">
        <w:rPr>
          <w:b/>
          <w:bCs/>
          <w:sz w:val="20"/>
          <w:szCs w:val="20"/>
        </w:rPr>
        <w:t>Investment Manager</w:t>
      </w:r>
      <w:r w:rsidRPr="00BC5C56">
        <w:rPr>
          <w:sz w:val="20"/>
          <w:szCs w:val="20"/>
        </w:rPr>
        <w:t xml:space="preserve">”), as </w:t>
      </w:r>
      <w:r>
        <w:rPr>
          <w:sz w:val="20"/>
          <w:szCs w:val="20"/>
        </w:rPr>
        <w:t>i</w:t>
      </w:r>
      <w:r w:rsidRPr="00BC5C56">
        <w:rPr>
          <w:sz w:val="20"/>
          <w:szCs w:val="20"/>
        </w:rPr>
        <w:t xml:space="preserve">nvestment </w:t>
      </w:r>
      <w:r>
        <w:rPr>
          <w:sz w:val="20"/>
          <w:szCs w:val="20"/>
        </w:rPr>
        <w:t>m</w:t>
      </w:r>
      <w:r w:rsidRPr="00BC5C56">
        <w:rPr>
          <w:sz w:val="20"/>
          <w:szCs w:val="20"/>
        </w:rPr>
        <w:t>anager of the Fund.</w:t>
      </w:r>
    </w:p>
    <w:p w:rsidR="0071660E" w:rsidRPr="00BC5C56" w:rsidP="0071660E" w14:paraId="71984E15" w14:textId="77777777">
      <w:pPr>
        <w:pStyle w:val="ssPara1"/>
        <w:rPr>
          <w:color w:val="auto"/>
          <w:sz w:val="20"/>
          <w:szCs w:val="20"/>
          <w:shd w:val="clear" w:color="auto" w:fill="auto"/>
        </w:rPr>
      </w:pPr>
      <w:r w:rsidRPr="00BC5C56">
        <w:rPr>
          <w:sz w:val="20"/>
          <w:szCs w:val="20"/>
        </w:rPr>
        <w:t>The Investment Manager was established in 2009 and is regulated by the Financial Conduct Authority in the United Kingdom as an investment advisory firm.  It has a registered office at 7 Cavendish Square, London W1G 0PE.</w:t>
      </w:r>
    </w:p>
    <w:p w:rsidR="0071660E" w:rsidRPr="00BC5C56" w:rsidP="0071660E" w14:paraId="7AF86D84" w14:textId="77777777">
      <w:pPr>
        <w:pStyle w:val="ssPara1"/>
        <w:rPr>
          <w:color w:val="auto"/>
          <w:sz w:val="20"/>
          <w:szCs w:val="20"/>
          <w:shd w:val="clear" w:color="auto" w:fill="auto"/>
        </w:rPr>
      </w:pPr>
      <w:r w:rsidRPr="00BC5C56">
        <w:rPr>
          <w:sz w:val="20"/>
          <w:szCs w:val="20"/>
        </w:rPr>
        <w:t>The principal activity of the Investment Manager is to provide investment management services to institutions and high net worth individuals.</w:t>
      </w:r>
    </w:p>
    <w:p w:rsidR="0071660E" w:rsidRPr="00BC5C56" w:rsidP="0071660E" w14:paraId="278E64C1" w14:textId="77777777">
      <w:pPr>
        <w:pStyle w:val="ssPara1"/>
        <w:rPr>
          <w:color w:val="auto"/>
          <w:sz w:val="20"/>
          <w:szCs w:val="20"/>
          <w:shd w:val="clear" w:color="auto" w:fill="auto"/>
        </w:rPr>
      </w:pPr>
      <w:r w:rsidRPr="00BC5C56">
        <w:rPr>
          <w:sz w:val="20"/>
          <w:szCs w:val="20"/>
        </w:rPr>
        <w:t xml:space="preserve">Pursuant to the Investment Management Agreement dated </w:t>
      </w:r>
      <w:r>
        <w:rPr>
          <w:sz w:val="20"/>
          <w:szCs w:val="20"/>
        </w:rPr>
        <w:t>13 November</w:t>
      </w:r>
      <w:r w:rsidRPr="00BC5C56">
        <w:rPr>
          <w:sz w:val="20"/>
          <w:szCs w:val="20"/>
        </w:rPr>
        <w:t xml:space="preserve"> 2020</w:t>
      </w:r>
      <w:r w:rsidRPr="00BC5C56">
        <w:rPr>
          <w:rFonts w:ascii="Arial" w:hAnsi="Arial" w:cs="Arial"/>
          <w:sz w:val="20"/>
          <w:szCs w:val="20"/>
        </w:rPr>
        <w:t xml:space="preserve"> between the Manager, the Investment Manager and the ICAV, </w:t>
      </w:r>
      <w:r w:rsidRPr="00BC5C56">
        <w:rPr>
          <w:sz w:val="20"/>
          <w:szCs w:val="20"/>
        </w:rPr>
        <w:t>the Investment Manager has been appointed to manage the investment and re-investment of the Fund’s assets in accordance with the investment objectives and policies described in this Supplement.</w:t>
      </w:r>
    </w:p>
    <w:p w:rsidR="0071660E" w:rsidRPr="00BC5C56" w:rsidP="0071660E" w14:paraId="1CBC0713" w14:textId="77777777">
      <w:pPr>
        <w:pStyle w:val="ssPara1"/>
        <w:rPr>
          <w:color w:val="auto"/>
          <w:sz w:val="20"/>
          <w:szCs w:val="20"/>
          <w:shd w:val="clear" w:color="auto" w:fill="auto"/>
        </w:rPr>
      </w:pPr>
      <w:r w:rsidRPr="00BC5C56">
        <w:rPr>
          <w:sz w:val="20"/>
          <w:szCs w:val="20"/>
        </w:rPr>
        <w:t xml:space="preserve">The Investment Management Agreement provides that the Fund shall indemnify the Investment Manager out of the assets of the Fund, from and against all actions, proceedings, claims and against all loss, costs, demands and expenses which may be brought against, suffered or incurred by the Investment Manager except where due to the wilful default, fraud, bad faith, negligence or recklessness on the part of the Investment Manager. None of the parties to the Investment Management Agreement will be liable for any indirect or consequential damages. </w:t>
      </w:r>
    </w:p>
    <w:p w:rsidR="0071660E" w:rsidRPr="00BC5C56" w:rsidP="0071660E" w14:paraId="746817E6" w14:textId="77777777">
      <w:pPr>
        <w:pStyle w:val="ssPara1"/>
        <w:rPr>
          <w:color w:val="auto"/>
          <w:sz w:val="20"/>
          <w:szCs w:val="20"/>
          <w:shd w:val="clear" w:color="auto" w:fill="auto"/>
        </w:rPr>
      </w:pPr>
      <w:r>
        <w:rPr>
          <w:sz w:val="20"/>
          <w:szCs w:val="20"/>
        </w:rPr>
        <w:t>A</w:t>
      </w:r>
      <w:r w:rsidRPr="00BC5C56">
        <w:rPr>
          <w:sz w:val="20"/>
          <w:szCs w:val="20"/>
        </w:rPr>
        <w:t xml:space="preserve">ny party may terminate the Investment Management Agreement by giving not less than </w:t>
      </w:r>
      <w:r>
        <w:rPr>
          <w:sz w:val="20"/>
          <w:szCs w:val="20"/>
        </w:rPr>
        <w:t xml:space="preserve">90 days written </w:t>
      </w:r>
      <w:r w:rsidRPr="00BC5C56">
        <w:rPr>
          <w:sz w:val="20"/>
          <w:szCs w:val="20"/>
        </w:rPr>
        <w:t>notice to the other. The Investment Management Agreement may be also terminated at any time immediately by any party if (i) a party commits a material breach of the Investment Management Agreement and fails to remedy a breach of the Investment Management Agreement within thirty days of being requested to do so; (ii) a party is wound up, has a receiver or examiner appointed over its assets or some event having equivalent effect occurs; or (iii) a party or ceases to be permitted under applicable law perform its duties and obligations under any applicable laws.</w:t>
      </w:r>
    </w:p>
    <w:p w:rsidR="0071660E" w:rsidRPr="00BC5C56" w:rsidP="0071660E" w14:paraId="5869D501" w14:textId="77777777">
      <w:pPr>
        <w:pStyle w:val="Heading1"/>
        <w:rPr>
          <w:rFonts w:cs="Arial"/>
          <w:b w:val="0"/>
          <w:color w:val="auto"/>
          <w:sz w:val="20"/>
          <w:szCs w:val="20"/>
          <w:shd w:val="clear" w:color="auto" w:fill="auto"/>
        </w:rPr>
      </w:pPr>
      <w:bookmarkStart w:id="22" w:name="_Toc36113831"/>
      <w:bookmarkStart w:id="23" w:name="_Toc49264366"/>
      <w:r w:rsidRPr="00BC5C56">
        <w:rPr>
          <w:rFonts w:cs="Arial"/>
          <w:sz w:val="20"/>
          <w:szCs w:val="20"/>
        </w:rPr>
        <w:t>Risk Factors</w:t>
      </w:r>
      <w:bookmarkEnd w:id="22"/>
      <w:bookmarkEnd w:id="23"/>
    </w:p>
    <w:p w:rsidR="0071660E" w:rsidRPr="00BC5C56" w:rsidP="0071660E" w14:paraId="6F1D6A57" w14:textId="77777777">
      <w:pPr>
        <w:pStyle w:val="ssPara1"/>
        <w:rPr>
          <w:b/>
          <w:color w:val="auto"/>
          <w:sz w:val="20"/>
          <w:szCs w:val="20"/>
          <w:shd w:val="clear" w:color="auto" w:fill="auto"/>
        </w:rPr>
      </w:pPr>
      <w:r w:rsidRPr="00BC5C56">
        <w:rPr>
          <w:rFonts w:eastAsia="MS Mincho" w:cs="Arial"/>
          <w:bCs/>
          <w:sz w:val="20"/>
          <w:szCs w:val="20"/>
          <w:lang w:val="en-US" w:eastAsia="ja-JP"/>
        </w:rPr>
        <w:t xml:space="preserve">The general risk factors set </w:t>
      </w:r>
      <w:r w:rsidRPr="00BC5C56">
        <w:rPr>
          <w:sz w:val="20"/>
          <w:szCs w:val="20"/>
        </w:rPr>
        <w:t>out under the section of the Prospectus headed "Risk Factors" apply to the Fund. The risks described in the Prospectus</w:t>
      </w:r>
      <w:r w:rsidRPr="00BC5C56">
        <w:rPr>
          <w:rFonts w:cs="Arial"/>
          <w:color w:val="000000"/>
          <w:sz w:val="20"/>
          <w:szCs w:val="20"/>
        </w:rPr>
        <w:t xml:space="preserve"> should not </w:t>
      </w:r>
      <w:r w:rsidRPr="00BC5C56">
        <w:rPr>
          <w:rFonts w:cs="Arial"/>
          <w:color w:val="000000"/>
          <w:sz w:val="20"/>
          <w:szCs w:val="20"/>
        </w:rPr>
        <w:t>be considered to be</w:t>
      </w:r>
      <w:r w:rsidRPr="00BC5C56">
        <w:rPr>
          <w:rFonts w:cs="Arial"/>
          <w:color w:val="000000"/>
          <w:sz w:val="20"/>
          <w:szCs w:val="20"/>
        </w:rPr>
        <w:t xml:space="preserve"> an exhaustive list of the risks which potential investors should consider before investing in the Fund. Potential investors should be aware that an </w:t>
      </w:r>
      <w:r w:rsidRPr="00BC5C56">
        <w:rPr>
          <w:sz w:val="20"/>
          <w:szCs w:val="20"/>
        </w:rPr>
        <w:t>investment in the Fund may be exposed to other risks from time to time.</w:t>
      </w:r>
      <w:bookmarkStart w:id="24" w:name="_Toc531274415"/>
      <w:bookmarkStart w:id="25" w:name="_Toc529474078"/>
      <w:bookmarkStart w:id="26" w:name="_Toc529474193"/>
      <w:bookmarkStart w:id="27" w:name="_Toc529474261"/>
      <w:bookmarkStart w:id="28" w:name="_Toc529474304"/>
      <w:bookmarkStart w:id="29" w:name="_Toc529474358"/>
      <w:bookmarkStart w:id="30" w:name="_Toc529476607"/>
      <w:bookmarkEnd w:id="18"/>
      <w:bookmarkEnd w:id="19"/>
      <w:r w:rsidRPr="00BC5C56">
        <w:rPr>
          <w:sz w:val="20"/>
          <w:szCs w:val="20"/>
        </w:rPr>
        <w:t xml:space="preserve"> </w:t>
      </w:r>
      <w:r w:rsidRPr="00BC5C56">
        <w:rPr>
          <w:b/>
          <w:sz w:val="20"/>
          <w:szCs w:val="20"/>
        </w:rPr>
        <w:t>The value of investments and income can go down as well as up (this may partly be the result of exchange rate fluctuations in investments which may have an exposure to foreign currencies</w:t>
      </w:r>
      <w:r w:rsidRPr="00BC5C56">
        <w:rPr>
          <w:b/>
          <w:sz w:val="20"/>
          <w:szCs w:val="20"/>
        </w:rPr>
        <w:t>)</w:t>
      </w:r>
      <w:r w:rsidRPr="00BC5C56">
        <w:rPr>
          <w:b/>
          <w:sz w:val="20"/>
          <w:szCs w:val="20"/>
        </w:rPr>
        <w:t xml:space="preserve"> and investors may not get back the full amount invested. An investment in the Fund should not constitute a substantial proportion of an investment portfolio and may not be appropriate for all investors. </w:t>
      </w:r>
    </w:p>
    <w:p w:rsidR="0071660E" w:rsidRPr="00BC5C56" w:rsidP="0071660E" w14:paraId="568589C9" w14:textId="77777777">
      <w:pPr>
        <w:pStyle w:val="Heading1"/>
        <w:rPr>
          <w:rFonts w:cs="Arial"/>
          <w:color w:val="auto"/>
          <w:sz w:val="20"/>
          <w:szCs w:val="20"/>
          <w:shd w:val="clear" w:color="auto" w:fill="auto"/>
        </w:rPr>
      </w:pPr>
      <w:bookmarkStart w:id="31" w:name="_Toc49264367"/>
      <w:r>
        <w:rPr>
          <w:sz w:val="20"/>
          <w:szCs w:val="20"/>
        </w:rPr>
        <w:t>Share Classes</w:t>
      </w:r>
      <w:bookmarkEnd w:id="31"/>
    </w:p>
    <w:p w:rsidR="0071660E" w:rsidRPr="00BC5C56" w:rsidP="0071660E" w14:paraId="5C03B95D" w14:textId="77777777">
      <w:pPr>
        <w:pStyle w:val="ssPara1"/>
        <w:rPr>
          <w:color w:val="auto"/>
          <w:sz w:val="20"/>
          <w:szCs w:val="20"/>
          <w:shd w:val="clear" w:color="auto" w:fill="auto"/>
        </w:rPr>
      </w:pPr>
      <w:r w:rsidRPr="00BC5C56">
        <w:rPr>
          <w:sz w:val="20"/>
          <w:szCs w:val="20"/>
        </w:rPr>
        <w:t xml:space="preserve">Accumulating Share Classes are available as further indicated in the table below in Section 11. </w:t>
      </w:r>
    </w:p>
    <w:p w:rsidR="0071660E" w:rsidP="0071660E" w14:paraId="15EAFA5B" w14:textId="77777777">
      <w:pPr>
        <w:pStyle w:val="ssPara1"/>
        <w:rPr>
          <w:color w:val="auto"/>
          <w:sz w:val="20"/>
          <w:szCs w:val="20"/>
          <w:shd w:val="clear" w:color="auto" w:fill="auto"/>
        </w:rPr>
      </w:pPr>
      <w:r w:rsidRPr="00BC5C56">
        <w:rPr>
          <w:sz w:val="20"/>
          <w:szCs w:val="20"/>
        </w:rPr>
        <w:t xml:space="preserve">The income, earnings and gains will be accumulated and reinvested on behalf of the Shareholders. It is not </w:t>
      </w:r>
      <w:r>
        <w:rPr>
          <w:sz w:val="20"/>
          <w:szCs w:val="20"/>
        </w:rPr>
        <w:t>c</w:t>
      </w:r>
      <w:r w:rsidRPr="00BC5C56">
        <w:rPr>
          <w:sz w:val="20"/>
          <w:szCs w:val="20"/>
        </w:rPr>
        <w:t>urrently intended to distribute dividends to Shareholders in the accumulating Share Classes.</w:t>
      </w:r>
    </w:p>
    <w:p w:rsidR="0071660E" w:rsidP="0071660E" w14:paraId="7293392A" w14:textId="77777777">
      <w:pPr>
        <w:pStyle w:val="Heading1"/>
        <w:rPr>
          <w:color w:val="auto"/>
          <w:sz w:val="20"/>
          <w:szCs w:val="20"/>
          <w:shd w:val="clear" w:color="auto" w:fill="auto"/>
        </w:rPr>
      </w:pPr>
      <w:bookmarkStart w:id="32" w:name="_Toc36113833"/>
      <w:bookmarkStart w:id="33" w:name="_Toc49264368"/>
      <w:r w:rsidRPr="00BC5C56">
        <w:rPr>
          <w:sz w:val="20"/>
          <w:szCs w:val="20"/>
        </w:rPr>
        <w:t>Key information for buying and selling</w:t>
      </w:r>
      <w:bookmarkEnd w:id="32"/>
      <w:bookmarkEnd w:id="33"/>
    </w:p>
    <w:p w:rsidR="0071660E" w:rsidRPr="00816126" w:rsidP="0071660E" w14:paraId="150504BC" w14:textId="77777777">
      <w:pPr>
        <w:pStyle w:val="ssPara1"/>
        <w:rPr>
          <w:color w:val="auto"/>
          <w:sz w:val="20"/>
          <w:szCs w:val="20"/>
          <w:shd w:val="clear" w:color="auto" w:fill="auto"/>
        </w:rPr>
      </w:pPr>
      <w:r w:rsidRPr="00BC5C56">
        <w:rPr>
          <w:sz w:val="20"/>
          <w:szCs w:val="20"/>
        </w:rPr>
        <w:t>The following Share Classes are available:</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5"/>
        <w:gridCol w:w="1418"/>
        <w:gridCol w:w="708"/>
        <w:gridCol w:w="851"/>
        <w:gridCol w:w="850"/>
        <w:gridCol w:w="1276"/>
        <w:gridCol w:w="1134"/>
        <w:gridCol w:w="1134"/>
        <w:gridCol w:w="992"/>
        <w:gridCol w:w="1276"/>
      </w:tblGrid>
      <w:tr w14:paraId="530F3596" w14:textId="77777777" w:rsidTr="00AC2223">
        <w:tblPrEx>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c>
          <w:tcPr>
            <w:tcW w:w="1135" w:type="dxa"/>
            <w:shd w:val="clear" w:color="auto" w:fill="F2F2F2" w:themeFill="background1" w:themeFillShade="F2"/>
            <w:tcMar>
              <w:top w:w="0" w:type="dxa"/>
              <w:left w:w="108" w:type="dxa"/>
              <w:bottom w:w="0" w:type="dxa"/>
              <w:right w:w="108" w:type="dxa"/>
            </w:tcMar>
            <w:hideMark/>
          </w:tcPr>
          <w:p w:rsidR="0071660E" w:rsidRPr="00974380" w:rsidP="00AC2223" w14:paraId="7C93592A" w14:textId="77777777">
            <w:pPr>
              <w:spacing w:line="264" w:lineRule="auto"/>
              <w:jc w:val="left"/>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Class of Share</w:t>
            </w:r>
          </w:p>
        </w:tc>
        <w:tc>
          <w:tcPr>
            <w:tcW w:w="1418" w:type="dxa"/>
            <w:shd w:val="clear" w:color="auto" w:fill="F2F2F2" w:themeFill="background1" w:themeFillShade="F2"/>
            <w:tcMar>
              <w:top w:w="0" w:type="dxa"/>
              <w:left w:w="108" w:type="dxa"/>
              <w:bottom w:w="0" w:type="dxa"/>
              <w:right w:w="108" w:type="dxa"/>
            </w:tcMar>
            <w:hideMark/>
          </w:tcPr>
          <w:p w:rsidR="0071660E" w:rsidRPr="00974380" w:rsidP="00AC2223" w14:paraId="3BD09B4A"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Currency</w:t>
            </w:r>
            <w:r w:rsidRPr="009A20BE">
              <w:rPr>
                <w:rFonts w:asciiTheme="majorHAnsi" w:hAnsiTheme="majorHAnsi" w:cstheme="majorHAnsi"/>
                <w:b/>
                <w:sz w:val="16"/>
                <w:szCs w:val="16"/>
              </w:rPr>
              <w:t xml:space="preserve"> Denomination</w:t>
            </w:r>
          </w:p>
        </w:tc>
        <w:tc>
          <w:tcPr>
            <w:tcW w:w="708" w:type="dxa"/>
            <w:shd w:val="clear" w:color="auto" w:fill="F2F2F2" w:themeFill="background1" w:themeFillShade="F2"/>
          </w:tcPr>
          <w:p w:rsidR="0071660E" w:rsidRPr="009A20BE" w:rsidP="00AC2223" w14:paraId="4CE2499D" w14:textId="77777777">
            <w:pPr>
              <w:spacing w:line="264" w:lineRule="auto"/>
              <w:rPr>
                <w:rFonts w:asciiTheme="majorHAnsi" w:hAnsiTheme="majorHAnsi" w:cstheme="majorHAnsi"/>
                <w:b/>
                <w:color w:val="auto"/>
                <w:sz w:val="16"/>
                <w:szCs w:val="16"/>
                <w:shd w:val="clear" w:color="auto" w:fill="auto"/>
              </w:rPr>
            </w:pPr>
            <w:r w:rsidRPr="009A20BE">
              <w:rPr>
                <w:rFonts w:ascii="Arial" w:hAnsi="Arial" w:cs="Arial"/>
                <w:b/>
                <w:sz w:val="16"/>
                <w:szCs w:val="16"/>
              </w:rPr>
              <w:t>Initial Issue Price</w:t>
            </w:r>
          </w:p>
        </w:tc>
        <w:tc>
          <w:tcPr>
            <w:tcW w:w="851" w:type="dxa"/>
            <w:shd w:val="clear" w:color="auto" w:fill="F2F2F2" w:themeFill="background1" w:themeFillShade="F2"/>
            <w:tcMar>
              <w:top w:w="0" w:type="dxa"/>
              <w:left w:w="108" w:type="dxa"/>
              <w:bottom w:w="0" w:type="dxa"/>
              <w:right w:w="108" w:type="dxa"/>
            </w:tcMar>
            <w:hideMark/>
          </w:tcPr>
          <w:p w:rsidR="0071660E" w:rsidRPr="00974380" w:rsidP="00AC2223" w14:paraId="202EDCCF"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Initial Charge</w:t>
            </w:r>
          </w:p>
        </w:tc>
        <w:tc>
          <w:tcPr>
            <w:tcW w:w="850" w:type="dxa"/>
            <w:shd w:val="clear" w:color="auto" w:fill="F2F2F2" w:themeFill="background1" w:themeFillShade="F2"/>
            <w:tcMar>
              <w:top w:w="0" w:type="dxa"/>
              <w:left w:w="108" w:type="dxa"/>
              <w:bottom w:w="0" w:type="dxa"/>
              <w:right w:w="108" w:type="dxa"/>
            </w:tcMar>
            <w:hideMark/>
          </w:tcPr>
          <w:p w:rsidR="0071660E" w:rsidRPr="00974380" w:rsidP="00AC2223" w14:paraId="40D9C3B2"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Redemption Charge</w:t>
            </w:r>
          </w:p>
        </w:tc>
        <w:tc>
          <w:tcPr>
            <w:tcW w:w="1276" w:type="dxa"/>
            <w:shd w:val="clear" w:color="auto" w:fill="F2F2F2" w:themeFill="background1" w:themeFillShade="F2"/>
            <w:tcMar>
              <w:top w:w="0" w:type="dxa"/>
              <w:left w:w="108" w:type="dxa"/>
              <w:bottom w:w="0" w:type="dxa"/>
              <w:right w:w="108" w:type="dxa"/>
            </w:tcMar>
            <w:hideMark/>
          </w:tcPr>
          <w:p w:rsidR="0071660E" w:rsidRPr="00974380" w:rsidP="00AC2223" w14:paraId="7D355CFA"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Management Fee</w:t>
            </w:r>
          </w:p>
        </w:tc>
        <w:tc>
          <w:tcPr>
            <w:tcW w:w="1134" w:type="dxa"/>
            <w:shd w:val="clear" w:color="auto" w:fill="F2F2F2" w:themeFill="background1" w:themeFillShade="F2"/>
            <w:tcMar>
              <w:top w:w="0" w:type="dxa"/>
              <w:left w:w="108" w:type="dxa"/>
              <w:bottom w:w="0" w:type="dxa"/>
              <w:right w:w="108" w:type="dxa"/>
            </w:tcMar>
            <w:hideMark/>
          </w:tcPr>
          <w:p w:rsidR="0071660E" w:rsidRPr="00974380" w:rsidP="00AC2223" w14:paraId="033CD072"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Minimum Initial Investment</w:t>
            </w:r>
          </w:p>
        </w:tc>
        <w:tc>
          <w:tcPr>
            <w:tcW w:w="1134" w:type="dxa"/>
            <w:shd w:val="clear" w:color="auto" w:fill="F2F2F2" w:themeFill="background1" w:themeFillShade="F2"/>
            <w:tcMar>
              <w:top w:w="0" w:type="dxa"/>
              <w:left w:w="108" w:type="dxa"/>
              <w:bottom w:w="0" w:type="dxa"/>
              <w:right w:w="108" w:type="dxa"/>
            </w:tcMar>
            <w:hideMark/>
          </w:tcPr>
          <w:p w:rsidR="0071660E" w:rsidRPr="00974380" w:rsidP="00AC2223" w14:paraId="4F154F00"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Minimum Subsequent Investment</w:t>
            </w:r>
          </w:p>
        </w:tc>
        <w:tc>
          <w:tcPr>
            <w:tcW w:w="992" w:type="dxa"/>
            <w:shd w:val="clear" w:color="auto" w:fill="F2F2F2" w:themeFill="background1" w:themeFillShade="F2"/>
            <w:tcMar>
              <w:top w:w="0" w:type="dxa"/>
              <w:left w:w="108" w:type="dxa"/>
              <w:bottom w:w="0" w:type="dxa"/>
              <w:right w:w="108" w:type="dxa"/>
            </w:tcMar>
            <w:hideMark/>
          </w:tcPr>
          <w:p w:rsidR="0071660E" w:rsidRPr="00974380" w:rsidP="00AC2223" w14:paraId="7F848592"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Minimum Holding</w:t>
            </w:r>
          </w:p>
        </w:tc>
        <w:tc>
          <w:tcPr>
            <w:tcW w:w="1276" w:type="dxa"/>
            <w:shd w:val="clear" w:color="auto" w:fill="F2F2F2" w:themeFill="background1" w:themeFillShade="F2"/>
            <w:tcMar>
              <w:top w:w="0" w:type="dxa"/>
              <w:left w:w="108" w:type="dxa"/>
              <w:bottom w:w="0" w:type="dxa"/>
              <w:right w:w="108" w:type="dxa"/>
            </w:tcMar>
            <w:hideMark/>
          </w:tcPr>
          <w:p w:rsidR="0071660E" w:rsidRPr="00974380" w:rsidP="00AC2223" w14:paraId="1A052954" w14:textId="77777777">
            <w:pPr>
              <w:spacing w:line="264" w:lineRule="auto"/>
              <w:rPr>
                <w:rFonts w:asciiTheme="majorHAnsi" w:hAnsiTheme="majorHAnsi" w:cstheme="majorHAnsi"/>
                <w:b/>
                <w:color w:val="auto"/>
                <w:sz w:val="16"/>
                <w:szCs w:val="16"/>
                <w:shd w:val="clear" w:color="auto" w:fill="auto"/>
              </w:rPr>
            </w:pPr>
            <w:r w:rsidRPr="00974380">
              <w:rPr>
                <w:rFonts w:asciiTheme="majorHAnsi" w:hAnsiTheme="majorHAnsi" w:cstheme="majorHAnsi"/>
                <w:b/>
                <w:sz w:val="16"/>
                <w:szCs w:val="16"/>
              </w:rPr>
              <w:t>Minimum Redemption</w:t>
            </w:r>
          </w:p>
        </w:tc>
      </w:tr>
      <w:tr w14:paraId="6DE4B222" w14:textId="77777777" w:rsidTr="00AC2223">
        <w:tblPrEx>
          <w:tblW w:w="10774" w:type="dxa"/>
          <w:tblInd w:w="-431" w:type="dxa"/>
          <w:tblLayout w:type="fixed"/>
          <w:tblCellMar>
            <w:left w:w="0" w:type="dxa"/>
            <w:right w:w="0" w:type="dxa"/>
          </w:tblCellMar>
          <w:tblLook w:val="04A0"/>
        </w:tblPrEx>
        <w:tc>
          <w:tcPr>
            <w:tcW w:w="1135" w:type="dxa"/>
            <w:tcMar>
              <w:top w:w="0" w:type="dxa"/>
              <w:left w:w="108" w:type="dxa"/>
              <w:bottom w:w="0" w:type="dxa"/>
              <w:right w:w="108" w:type="dxa"/>
            </w:tcMar>
            <w:hideMark/>
          </w:tcPr>
          <w:p w:rsidR="0071660E" w:rsidRPr="00974380" w:rsidP="00AC2223" w14:paraId="09878C91"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 xml:space="preserve">Class </w:t>
            </w:r>
            <w:r>
              <w:rPr>
                <w:rFonts w:asciiTheme="majorHAnsi" w:hAnsiTheme="majorHAnsi" w:cstheme="majorHAnsi"/>
                <w:bCs/>
                <w:sz w:val="16"/>
                <w:szCs w:val="16"/>
              </w:rPr>
              <w:t>S</w:t>
            </w:r>
            <w:r w:rsidRPr="00974380">
              <w:rPr>
                <w:rFonts w:asciiTheme="majorHAnsi" w:hAnsiTheme="majorHAnsi" w:cstheme="majorHAnsi"/>
                <w:bCs/>
                <w:sz w:val="16"/>
                <w:szCs w:val="16"/>
              </w:rPr>
              <w:t xml:space="preserve"> </w:t>
            </w:r>
            <w:r>
              <w:rPr>
                <w:rFonts w:asciiTheme="majorHAnsi" w:hAnsiTheme="majorHAnsi" w:cstheme="majorHAnsi"/>
                <w:bCs/>
                <w:sz w:val="16"/>
                <w:szCs w:val="16"/>
              </w:rPr>
              <w:t xml:space="preserve">Distributing* </w:t>
            </w:r>
          </w:p>
        </w:tc>
        <w:tc>
          <w:tcPr>
            <w:tcW w:w="1418" w:type="dxa"/>
            <w:tcMar>
              <w:top w:w="0" w:type="dxa"/>
              <w:left w:w="108" w:type="dxa"/>
              <w:bottom w:w="0" w:type="dxa"/>
              <w:right w:w="108" w:type="dxa"/>
            </w:tcMar>
            <w:hideMark/>
          </w:tcPr>
          <w:p w:rsidR="0071660E" w:rsidRPr="00974380" w:rsidP="00AC2223" w14:paraId="30285EAF"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USD</w:t>
            </w:r>
          </w:p>
        </w:tc>
        <w:tc>
          <w:tcPr>
            <w:tcW w:w="708" w:type="dxa"/>
          </w:tcPr>
          <w:p w:rsidR="0071660E" w:rsidRPr="009A20BE" w:rsidP="00AC2223" w14:paraId="17C52868"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w:t>
            </w:r>
            <w:r w:rsidRPr="00974380">
              <w:rPr>
                <w:rFonts w:asciiTheme="majorHAnsi" w:hAnsiTheme="majorHAnsi" w:cstheme="majorHAnsi"/>
                <w:bCs/>
                <w:sz w:val="16"/>
                <w:szCs w:val="16"/>
              </w:rPr>
              <w:t>00</w:t>
            </w:r>
          </w:p>
        </w:tc>
        <w:tc>
          <w:tcPr>
            <w:tcW w:w="851" w:type="dxa"/>
            <w:tcMar>
              <w:top w:w="0" w:type="dxa"/>
              <w:left w:w="108" w:type="dxa"/>
              <w:bottom w:w="0" w:type="dxa"/>
              <w:right w:w="108" w:type="dxa"/>
            </w:tcMar>
            <w:hideMark/>
          </w:tcPr>
          <w:p w:rsidR="0071660E" w:rsidRPr="00974380" w:rsidP="00AC2223" w14:paraId="01ABE68A"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850" w:type="dxa"/>
            <w:tcMar>
              <w:top w:w="0" w:type="dxa"/>
              <w:left w:w="108" w:type="dxa"/>
              <w:bottom w:w="0" w:type="dxa"/>
              <w:right w:w="108" w:type="dxa"/>
            </w:tcMar>
            <w:hideMark/>
          </w:tcPr>
          <w:p w:rsidR="0071660E" w:rsidRPr="00974380" w:rsidP="00AC2223" w14:paraId="3AB7FDEC"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1276" w:type="dxa"/>
            <w:tcMar>
              <w:top w:w="0" w:type="dxa"/>
              <w:left w:w="108" w:type="dxa"/>
              <w:bottom w:w="0" w:type="dxa"/>
              <w:right w:w="108" w:type="dxa"/>
            </w:tcMar>
            <w:hideMark/>
          </w:tcPr>
          <w:p w:rsidR="0071660E" w:rsidRPr="00974380" w:rsidP="00AC2223" w14:paraId="3F950CA5"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1.0</w:t>
            </w:r>
            <w:r>
              <w:rPr>
                <w:rFonts w:asciiTheme="majorHAnsi" w:hAnsiTheme="majorHAnsi" w:cstheme="majorHAnsi"/>
                <w:bCs/>
                <w:sz w:val="16"/>
                <w:szCs w:val="16"/>
              </w:rPr>
              <w:t>3</w:t>
            </w:r>
            <w:r w:rsidRPr="00974380">
              <w:rPr>
                <w:rFonts w:asciiTheme="majorHAnsi" w:hAnsiTheme="majorHAnsi" w:cstheme="majorHAnsi"/>
                <w:bCs/>
                <w:sz w:val="16"/>
                <w:szCs w:val="16"/>
              </w:rPr>
              <w:t>%</w:t>
            </w:r>
          </w:p>
        </w:tc>
        <w:tc>
          <w:tcPr>
            <w:tcW w:w="1134" w:type="dxa"/>
            <w:tcMar>
              <w:top w:w="0" w:type="dxa"/>
              <w:left w:w="108" w:type="dxa"/>
              <w:bottom w:w="0" w:type="dxa"/>
              <w:right w:w="108" w:type="dxa"/>
            </w:tcMar>
            <w:hideMark/>
          </w:tcPr>
          <w:p w:rsidR="0071660E" w:rsidRPr="00974380" w:rsidP="00AC2223" w14:paraId="5412F27A"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134" w:type="dxa"/>
            <w:tcMar>
              <w:top w:w="0" w:type="dxa"/>
              <w:left w:w="108" w:type="dxa"/>
              <w:bottom w:w="0" w:type="dxa"/>
              <w:right w:w="108" w:type="dxa"/>
            </w:tcMar>
            <w:hideMark/>
          </w:tcPr>
          <w:p w:rsidR="0071660E" w:rsidRPr="00974380" w:rsidP="00AC2223" w14:paraId="75ED18AB"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992" w:type="dxa"/>
            <w:tcMar>
              <w:top w:w="0" w:type="dxa"/>
              <w:left w:w="108" w:type="dxa"/>
              <w:bottom w:w="0" w:type="dxa"/>
              <w:right w:w="108" w:type="dxa"/>
            </w:tcMar>
            <w:hideMark/>
          </w:tcPr>
          <w:p w:rsidR="0071660E" w:rsidRPr="00974380" w:rsidP="00AC2223" w14:paraId="23D85CF9"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276" w:type="dxa"/>
            <w:tcMar>
              <w:top w:w="0" w:type="dxa"/>
              <w:left w:w="108" w:type="dxa"/>
              <w:bottom w:w="0" w:type="dxa"/>
              <w:right w:w="108" w:type="dxa"/>
            </w:tcMar>
            <w:hideMark/>
          </w:tcPr>
          <w:p w:rsidR="0071660E" w:rsidRPr="00974380" w:rsidP="00AC2223" w14:paraId="3E7371E2"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r>
      <w:tr w14:paraId="4D10F62E" w14:textId="77777777" w:rsidTr="00AC2223">
        <w:tblPrEx>
          <w:tblW w:w="10774" w:type="dxa"/>
          <w:tblInd w:w="-431" w:type="dxa"/>
          <w:tblLayout w:type="fixed"/>
          <w:tblCellMar>
            <w:left w:w="0" w:type="dxa"/>
            <w:right w:w="0" w:type="dxa"/>
          </w:tblCellMar>
          <w:tblLook w:val="04A0"/>
        </w:tblPrEx>
        <w:tc>
          <w:tcPr>
            <w:tcW w:w="1135" w:type="dxa"/>
            <w:tcMar>
              <w:top w:w="0" w:type="dxa"/>
              <w:left w:w="108" w:type="dxa"/>
              <w:bottom w:w="0" w:type="dxa"/>
              <w:right w:w="108" w:type="dxa"/>
            </w:tcMar>
            <w:hideMark/>
          </w:tcPr>
          <w:p w:rsidR="0071660E" w:rsidRPr="00974380" w:rsidP="00AC2223" w14:paraId="7992A3AE"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 xml:space="preserve">Class </w:t>
            </w:r>
            <w:r>
              <w:rPr>
                <w:rFonts w:asciiTheme="majorHAnsi" w:hAnsiTheme="majorHAnsi" w:cstheme="majorHAnsi"/>
                <w:bCs/>
                <w:sz w:val="16"/>
                <w:szCs w:val="16"/>
              </w:rPr>
              <w:t>C</w:t>
            </w:r>
            <w:r w:rsidRPr="00974380">
              <w:rPr>
                <w:rFonts w:asciiTheme="majorHAnsi" w:hAnsiTheme="majorHAnsi" w:cstheme="majorHAnsi"/>
                <w:bCs/>
                <w:sz w:val="16"/>
                <w:szCs w:val="16"/>
              </w:rPr>
              <w:t xml:space="preserve"> Accumulating</w:t>
            </w:r>
          </w:p>
        </w:tc>
        <w:tc>
          <w:tcPr>
            <w:tcW w:w="1418" w:type="dxa"/>
            <w:tcMar>
              <w:top w:w="0" w:type="dxa"/>
              <w:left w:w="108" w:type="dxa"/>
              <w:bottom w:w="0" w:type="dxa"/>
              <w:right w:w="108" w:type="dxa"/>
            </w:tcMar>
            <w:hideMark/>
          </w:tcPr>
          <w:p w:rsidR="0071660E" w:rsidRPr="00974380" w:rsidP="00AC2223" w14:paraId="099E489E"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USD</w:t>
            </w:r>
          </w:p>
        </w:tc>
        <w:tc>
          <w:tcPr>
            <w:tcW w:w="708" w:type="dxa"/>
          </w:tcPr>
          <w:p w:rsidR="0071660E" w:rsidRPr="009A20BE" w:rsidP="00AC2223" w14:paraId="1854995C"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w:t>
            </w:r>
            <w:r w:rsidRPr="00974380">
              <w:rPr>
                <w:rFonts w:asciiTheme="majorHAnsi" w:hAnsiTheme="majorHAnsi" w:cstheme="majorHAnsi"/>
                <w:bCs/>
                <w:sz w:val="16"/>
                <w:szCs w:val="16"/>
              </w:rPr>
              <w:t>00</w:t>
            </w:r>
          </w:p>
        </w:tc>
        <w:tc>
          <w:tcPr>
            <w:tcW w:w="851" w:type="dxa"/>
            <w:tcMar>
              <w:top w:w="0" w:type="dxa"/>
              <w:left w:w="108" w:type="dxa"/>
              <w:bottom w:w="0" w:type="dxa"/>
              <w:right w:w="108" w:type="dxa"/>
            </w:tcMar>
            <w:hideMark/>
          </w:tcPr>
          <w:p w:rsidR="0071660E" w:rsidRPr="00974380" w:rsidP="00AC2223" w14:paraId="008C2E99"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850" w:type="dxa"/>
            <w:tcMar>
              <w:top w:w="0" w:type="dxa"/>
              <w:left w:w="108" w:type="dxa"/>
              <w:bottom w:w="0" w:type="dxa"/>
              <w:right w:w="108" w:type="dxa"/>
            </w:tcMar>
            <w:hideMark/>
          </w:tcPr>
          <w:p w:rsidR="0071660E" w:rsidRPr="00974380" w:rsidP="00AC2223" w14:paraId="1CE464B2"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1276" w:type="dxa"/>
            <w:tcMar>
              <w:top w:w="0" w:type="dxa"/>
              <w:left w:w="108" w:type="dxa"/>
              <w:bottom w:w="0" w:type="dxa"/>
              <w:right w:w="108" w:type="dxa"/>
            </w:tcMar>
            <w:hideMark/>
          </w:tcPr>
          <w:p w:rsidR="0071660E" w:rsidRPr="00974380" w:rsidP="00AC2223" w14:paraId="00F7D497"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1.0</w:t>
            </w:r>
            <w:r>
              <w:rPr>
                <w:rFonts w:asciiTheme="majorHAnsi" w:hAnsiTheme="majorHAnsi" w:cstheme="majorHAnsi"/>
                <w:bCs/>
                <w:sz w:val="16"/>
                <w:szCs w:val="16"/>
              </w:rPr>
              <w:t>3</w:t>
            </w:r>
            <w:r w:rsidRPr="00974380">
              <w:rPr>
                <w:rFonts w:asciiTheme="majorHAnsi" w:hAnsiTheme="majorHAnsi" w:cstheme="majorHAnsi"/>
                <w:bCs/>
                <w:sz w:val="16"/>
                <w:szCs w:val="16"/>
              </w:rPr>
              <w:t>%</w:t>
            </w:r>
          </w:p>
        </w:tc>
        <w:tc>
          <w:tcPr>
            <w:tcW w:w="1134" w:type="dxa"/>
            <w:tcMar>
              <w:top w:w="0" w:type="dxa"/>
              <w:left w:w="108" w:type="dxa"/>
              <w:bottom w:w="0" w:type="dxa"/>
              <w:right w:w="108" w:type="dxa"/>
            </w:tcMar>
            <w:hideMark/>
          </w:tcPr>
          <w:p w:rsidR="0071660E" w:rsidRPr="00974380" w:rsidP="00AC2223" w14:paraId="3EA34E41"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134" w:type="dxa"/>
            <w:tcMar>
              <w:top w:w="0" w:type="dxa"/>
              <w:left w:w="108" w:type="dxa"/>
              <w:bottom w:w="0" w:type="dxa"/>
              <w:right w:w="108" w:type="dxa"/>
            </w:tcMar>
            <w:hideMark/>
          </w:tcPr>
          <w:p w:rsidR="0071660E" w:rsidRPr="00974380" w:rsidP="00AC2223" w14:paraId="19FDE7F3"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992" w:type="dxa"/>
            <w:tcMar>
              <w:top w:w="0" w:type="dxa"/>
              <w:left w:w="108" w:type="dxa"/>
              <w:bottom w:w="0" w:type="dxa"/>
              <w:right w:w="108" w:type="dxa"/>
            </w:tcMar>
            <w:hideMark/>
          </w:tcPr>
          <w:p w:rsidR="0071660E" w:rsidRPr="00974380" w:rsidP="00AC2223" w14:paraId="3CB811D2"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276" w:type="dxa"/>
            <w:tcMar>
              <w:top w:w="0" w:type="dxa"/>
              <w:left w:w="108" w:type="dxa"/>
              <w:bottom w:w="0" w:type="dxa"/>
              <w:right w:w="108" w:type="dxa"/>
            </w:tcMar>
            <w:hideMark/>
          </w:tcPr>
          <w:p w:rsidR="0071660E" w:rsidRPr="00974380" w:rsidP="00AC2223" w14:paraId="7C907622"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r>
      <w:tr w14:paraId="04DE5361" w14:textId="77777777" w:rsidTr="00AC2223">
        <w:tblPrEx>
          <w:tblW w:w="10774" w:type="dxa"/>
          <w:tblInd w:w="-431" w:type="dxa"/>
          <w:tblLayout w:type="fixed"/>
          <w:tblCellMar>
            <w:left w:w="0" w:type="dxa"/>
            <w:right w:w="0" w:type="dxa"/>
          </w:tblCellMar>
          <w:tblLook w:val="04A0"/>
        </w:tblPrEx>
        <w:tc>
          <w:tcPr>
            <w:tcW w:w="1135" w:type="dxa"/>
            <w:tcMar>
              <w:top w:w="0" w:type="dxa"/>
              <w:left w:w="108" w:type="dxa"/>
              <w:bottom w:w="0" w:type="dxa"/>
              <w:right w:w="108" w:type="dxa"/>
            </w:tcMar>
            <w:hideMark/>
          </w:tcPr>
          <w:p w:rsidR="0071660E" w:rsidRPr="00974380" w:rsidP="00AC2223" w14:paraId="1EC1180E"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 xml:space="preserve">Class </w:t>
            </w:r>
            <w:r>
              <w:rPr>
                <w:rFonts w:asciiTheme="majorHAnsi" w:hAnsiTheme="majorHAnsi" w:cstheme="majorHAnsi"/>
                <w:bCs/>
                <w:sz w:val="16"/>
                <w:szCs w:val="16"/>
              </w:rPr>
              <w:t>C</w:t>
            </w:r>
            <w:r w:rsidRPr="00974380">
              <w:rPr>
                <w:rFonts w:asciiTheme="majorHAnsi" w:hAnsiTheme="majorHAnsi" w:cstheme="majorHAnsi"/>
                <w:bCs/>
                <w:sz w:val="16"/>
                <w:szCs w:val="16"/>
              </w:rPr>
              <w:t xml:space="preserve"> Accumulating</w:t>
            </w:r>
          </w:p>
        </w:tc>
        <w:tc>
          <w:tcPr>
            <w:tcW w:w="1418" w:type="dxa"/>
            <w:tcMar>
              <w:top w:w="0" w:type="dxa"/>
              <w:left w:w="108" w:type="dxa"/>
              <w:bottom w:w="0" w:type="dxa"/>
              <w:right w:w="108" w:type="dxa"/>
            </w:tcMar>
            <w:hideMark/>
          </w:tcPr>
          <w:p w:rsidR="0071660E" w:rsidRPr="00974380" w:rsidP="00AC2223" w14:paraId="70C4A6A7"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EUR</w:t>
            </w:r>
          </w:p>
        </w:tc>
        <w:tc>
          <w:tcPr>
            <w:tcW w:w="708" w:type="dxa"/>
          </w:tcPr>
          <w:p w:rsidR="0071660E" w:rsidRPr="009A20BE" w:rsidP="00AC2223" w14:paraId="433A3F24"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w:t>
            </w:r>
            <w:r w:rsidRPr="00974380">
              <w:rPr>
                <w:rFonts w:asciiTheme="majorHAnsi" w:hAnsiTheme="majorHAnsi" w:cstheme="majorHAnsi"/>
                <w:bCs/>
                <w:sz w:val="16"/>
                <w:szCs w:val="16"/>
              </w:rPr>
              <w:t>00</w:t>
            </w:r>
          </w:p>
        </w:tc>
        <w:tc>
          <w:tcPr>
            <w:tcW w:w="851" w:type="dxa"/>
            <w:tcMar>
              <w:top w:w="0" w:type="dxa"/>
              <w:left w:w="108" w:type="dxa"/>
              <w:bottom w:w="0" w:type="dxa"/>
              <w:right w:w="108" w:type="dxa"/>
            </w:tcMar>
            <w:hideMark/>
          </w:tcPr>
          <w:p w:rsidR="0071660E" w:rsidRPr="00974380" w:rsidP="00AC2223" w14:paraId="2C952644"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850" w:type="dxa"/>
            <w:tcMar>
              <w:top w:w="0" w:type="dxa"/>
              <w:left w:w="108" w:type="dxa"/>
              <w:bottom w:w="0" w:type="dxa"/>
              <w:right w:w="108" w:type="dxa"/>
            </w:tcMar>
            <w:hideMark/>
          </w:tcPr>
          <w:p w:rsidR="0071660E" w:rsidRPr="00974380" w:rsidP="00AC2223" w14:paraId="70E9BE8A"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1276" w:type="dxa"/>
            <w:tcMar>
              <w:top w:w="0" w:type="dxa"/>
              <w:left w:w="108" w:type="dxa"/>
              <w:bottom w:w="0" w:type="dxa"/>
              <w:right w:w="108" w:type="dxa"/>
            </w:tcMar>
            <w:hideMark/>
          </w:tcPr>
          <w:p w:rsidR="0071660E" w:rsidRPr="00974380" w:rsidP="00AC2223" w14:paraId="523FAB0B"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1.0</w:t>
            </w:r>
            <w:r>
              <w:rPr>
                <w:rFonts w:asciiTheme="majorHAnsi" w:hAnsiTheme="majorHAnsi" w:cstheme="majorHAnsi"/>
                <w:bCs/>
                <w:sz w:val="16"/>
                <w:szCs w:val="16"/>
              </w:rPr>
              <w:t>3</w:t>
            </w:r>
            <w:r w:rsidRPr="00974380">
              <w:rPr>
                <w:rFonts w:asciiTheme="majorHAnsi" w:hAnsiTheme="majorHAnsi" w:cstheme="majorHAnsi"/>
                <w:bCs/>
                <w:sz w:val="16"/>
                <w:szCs w:val="16"/>
              </w:rPr>
              <w:t>%</w:t>
            </w:r>
          </w:p>
        </w:tc>
        <w:tc>
          <w:tcPr>
            <w:tcW w:w="1134" w:type="dxa"/>
            <w:tcMar>
              <w:top w:w="0" w:type="dxa"/>
              <w:left w:w="108" w:type="dxa"/>
              <w:bottom w:w="0" w:type="dxa"/>
              <w:right w:w="108" w:type="dxa"/>
            </w:tcMar>
            <w:hideMark/>
          </w:tcPr>
          <w:p w:rsidR="0071660E" w:rsidRPr="00974380" w:rsidP="00AC2223" w14:paraId="6F91A906"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134" w:type="dxa"/>
            <w:tcMar>
              <w:top w:w="0" w:type="dxa"/>
              <w:left w:w="108" w:type="dxa"/>
              <w:bottom w:w="0" w:type="dxa"/>
              <w:right w:w="108" w:type="dxa"/>
            </w:tcMar>
            <w:hideMark/>
          </w:tcPr>
          <w:p w:rsidR="0071660E" w:rsidRPr="00974380" w:rsidP="00AC2223" w14:paraId="420E37D3"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992" w:type="dxa"/>
            <w:tcMar>
              <w:top w:w="0" w:type="dxa"/>
              <w:left w:w="108" w:type="dxa"/>
              <w:bottom w:w="0" w:type="dxa"/>
              <w:right w:w="108" w:type="dxa"/>
            </w:tcMar>
            <w:hideMark/>
          </w:tcPr>
          <w:p w:rsidR="0071660E" w:rsidRPr="00974380" w:rsidP="00AC2223" w14:paraId="3680822E"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c>
          <w:tcPr>
            <w:tcW w:w="1276" w:type="dxa"/>
            <w:tcMar>
              <w:top w:w="0" w:type="dxa"/>
              <w:left w:w="108" w:type="dxa"/>
              <w:bottom w:w="0" w:type="dxa"/>
              <w:right w:w="108" w:type="dxa"/>
            </w:tcMar>
            <w:hideMark/>
          </w:tcPr>
          <w:p w:rsidR="0071660E" w:rsidRPr="00974380" w:rsidP="00AC2223" w14:paraId="7B0EE118"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€100</w:t>
            </w:r>
          </w:p>
        </w:tc>
      </w:tr>
      <w:tr w14:paraId="70A65C24" w14:textId="77777777" w:rsidTr="00AC2223">
        <w:tblPrEx>
          <w:tblW w:w="10774" w:type="dxa"/>
          <w:tblInd w:w="-431" w:type="dxa"/>
          <w:tblLayout w:type="fixed"/>
          <w:tblCellMar>
            <w:left w:w="0" w:type="dxa"/>
            <w:right w:w="0" w:type="dxa"/>
          </w:tblCellMar>
          <w:tblLook w:val="04A0"/>
        </w:tblPrEx>
        <w:tc>
          <w:tcPr>
            <w:tcW w:w="1135" w:type="dxa"/>
            <w:tcMar>
              <w:top w:w="0" w:type="dxa"/>
              <w:left w:w="108" w:type="dxa"/>
              <w:bottom w:w="0" w:type="dxa"/>
              <w:right w:w="108" w:type="dxa"/>
            </w:tcMar>
            <w:hideMark/>
          </w:tcPr>
          <w:p w:rsidR="0071660E" w:rsidRPr="00974380" w:rsidP="00AC2223" w14:paraId="603154E0"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 xml:space="preserve">Class </w:t>
            </w:r>
            <w:r>
              <w:rPr>
                <w:rFonts w:asciiTheme="majorHAnsi" w:hAnsiTheme="majorHAnsi" w:cstheme="majorHAnsi"/>
                <w:bCs/>
                <w:sz w:val="16"/>
                <w:szCs w:val="16"/>
              </w:rPr>
              <w:t>C</w:t>
            </w:r>
            <w:r w:rsidRPr="00974380">
              <w:rPr>
                <w:rFonts w:asciiTheme="majorHAnsi" w:hAnsiTheme="majorHAnsi" w:cstheme="majorHAnsi"/>
                <w:bCs/>
                <w:sz w:val="16"/>
                <w:szCs w:val="16"/>
              </w:rPr>
              <w:t xml:space="preserve"> Accumulating</w:t>
            </w:r>
          </w:p>
        </w:tc>
        <w:tc>
          <w:tcPr>
            <w:tcW w:w="1418" w:type="dxa"/>
            <w:tcMar>
              <w:top w:w="0" w:type="dxa"/>
              <w:left w:w="108" w:type="dxa"/>
              <w:bottom w:w="0" w:type="dxa"/>
              <w:right w:w="108" w:type="dxa"/>
            </w:tcMar>
            <w:hideMark/>
          </w:tcPr>
          <w:p w:rsidR="0071660E" w:rsidRPr="00974380" w:rsidP="00AC2223" w14:paraId="5F920EC2"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CHF</w:t>
            </w:r>
          </w:p>
        </w:tc>
        <w:tc>
          <w:tcPr>
            <w:tcW w:w="708" w:type="dxa"/>
          </w:tcPr>
          <w:p w:rsidR="0071660E" w:rsidRPr="009A20BE" w:rsidP="00AC2223" w14:paraId="014D0C36"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SFr1</w:t>
            </w:r>
            <w:r w:rsidRPr="00974380">
              <w:rPr>
                <w:rFonts w:asciiTheme="majorHAnsi" w:hAnsiTheme="majorHAnsi" w:cstheme="majorHAnsi"/>
                <w:bCs/>
                <w:sz w:val="16"/>
                <w:szCs w:val="16"/>
              </w:rPr>
              <w:t>00</w:t>
            </w:r>
          </w:p>
        </w:tc>
        <w:tc>
          <w:tcPr>
            <w:tcW w:w="851" w:type="dxa"/>
            <w:tcMar>
              <w:top w:w="0" w:type="dxa"/>
              <w:left w:w="108" w:type="dxa"/>
              <w:bottom w:w="0" w:type="dxa"/>
              <w:right w:w="108" w:type="dxa"/>
            </w:tcMar>
            <w:hideMark/>
          </w:tcPr>
          <w:p w:rsidR="0071660E" w:rsidRPr="00974380" w:rsidP="00AC2223" w14:paraId="03DA1E08"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850" w:type="dxa"/>
            <w:tcMar>
              <w:top w:w="0" w:type="dxa"/>
              <w:left w:w="108" w:type="dxa"/>
              <w:bottom w:w="0" w:type="dxa"/>
              <w:right w:w="108" w:type="dxa"/>
            </w:tcMar>
            <w:hideMark/>
          </w:tcPr>
          <w:p w:rsidR="0071660E" w:rsidRPr="00974380" w:rsidP="00AC2223" w14:paraId="61BEC50A"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1276" w:type="dxa"/>
            <w:tcMar>
              <w:top w:w="0" w:type="dxa"/>
              <w:left w:w="108" w:type="dxa"/>
              <w:bottom w:w="0" w:type="dxa"/>
              <w:right w:w="108" w:type="dxa"/>
            </w:tcMar>
            <w:hideMark/>
          </w:tcPr>
          <w:p w:rsidR="0071660E" w:rsidRPr="00974380" w:rsidP="00AC2223" w14:paraId="6E99F571"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1.0</w:t>
            </w:r>
            <w:r>
              <w:rPr>
                <w:rFonts w:asciiTheme="majorHAnsi" w:hAnsiTheme="majorHAnsi" w:cstheme="majorHAnsi"/>
                <w:bCs/>
                <w:sz w:val="16"/>
                <w:szCs w:val="16"/>
              </w:rPr>
              <w:t>3</w:t>
            </w:r>
            <w:r w:rsidRPr="00974380">
              <w:rPr>
                <w:rFonts w:asciiTheme="majorHAnsi" w:hAnsiTheme="majorHAnsi" w:cstheme="majorHAnsi"/>
                <w:bCs/>
                <w:sz w:val="16"/>
                <w:szCs w:val="16"/>
              </w:rPr>
              <w:t>%</w:t>
            </w:r>
          </w:p>
        </w:tc>
        <w:tc>
          <w:tcPr>
            <w:tcW w:w="1134" w:type="dxa"/>
            <w:tcMar>
              <w:top w:w="0" w:type="dxa"/>
              <w:left w:w="108" w:type="dxa"/>
              <w:bottom w:w="0" w:type="dxa"/>
              <w:right w:w="108" w:type="dxa"/>
            </w:tcMar>
            <w:hideMark/>
          </w:tcPr>
          <w:p w:rsidR="0071660E" w:rsidRPr="00974380" w:rsidP="00AC2223" w14:paraId="2369E4B7"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SFr100</w:t>
            </w:r>
          </w:p>
        </w:tc>
        <w:tc>
          <w:tcPr>
            <w:tcW w:w="1134" w:type="dxa"/>
            <w:tcMar>
              <w:top w:w="0" w:type="dxa"/>
              <w:left w:w="108" w:type="dxa"/>
              <w:bottom w:w="0" w:type="dxa"/>
              <w:right w:w="108" w:type="dxa"/>
            </w:tcMar>
            <w:hideMark/>
          </w:tcPr>
          <w:p w:rsidR="0071660E" w:rsidRPr="00974380" w:rsidP="00AC2223" w14:paraId="30781347"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SFr100</w:t>
            </w:r>
          </w:p>
        </w:tc>
        <w:tc>
          <w:tcPr>
            <w:tcW w:w="992" w:type="dxa"/>
            <w:tcMar>
              <w:top w:w="0" w:type="dxa"/>
              <w:left w:w="108" w:type="dxa"/>
              <w:bottom w:w="0" w:type="dxa"/>
              <w:right w:w="108" w:type="dxa"/>
            </w:tcMar>
            <w:hideMark/>
          </w:tcPr>
          <w:p w:rsidR="0071660E" w:rsidRPr="00974380" w:rsidP="00AC2223" w14:paraId="0988599F"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SFr100</w:t>
            </w:r>
          </w:p>
        </w:tc>
        <w:tc>
          <w:tcPr>
            <w:tcW w:w="1276" w:type="dxa"/>
            <w:tcMar>
              <w:top w:w="0" w:type="dxa"/>
              <w:left w:w="108" w:type="dxa"/>
              <w:bottom w:w="0" w:type="dxa"/>
              <w:right w:w="108" w:type="dxa"/>
            </w:tcMar>
            <w:hideMark/>
          </w:tcPr>
          <w:p w:rsidR="0071660E" w:rsidRPr="00974380" w:rsidP="00AC2223" w14:paraId="4EE2DF89" w14:textId="77777777">
            <w:pPr>
              <w:spacing w:line="264" w:lineRule="auto"/>
              <w:rPr>
                <w:rFonts w:asciiTheme="majorHAnsi" w:hAnsiTheme="majorHAnsi" w:cstheme="majorHAnsi"/>
                <w:bCs/>
                <w:color w:val="auto"/>
                <w:sz w:val="16"/>
                <w:szCs w:val="16"/>
                <w:shd w:val="clear" w:color="auto" w:fill="auto"/>
              </w:rPr>
            </w:pPr>
            <w:r>
              <w:rPr>
                <w:rFonts w:asciiTheme="majorHAnsi" w:hAnsiTheme="majorHAnsi" w:cstheme="majorHAnsi"/>
                <w:bCs/>
                <w:sz w:val="16"/>
                <w:szCs w:val="16"/>
              </w:rPr>
              <w:t>SFr100</w:t>
            </w:r>
          </w:p>
        </w:tc>
      </w:tr>
      <w:tr w14:paraId="7D3BD998" w14:textId="77777777" w:rsidTr="00AC2223">
        <w:tblPrEx>
          <w:tblW w:w="10774" w:type="dxa"/>
          <w:tblInd w:w="-431" w:type="dxa"/>
          <w:tblLayout w:type="fixed"/>
          <w:tblCellMar>
            <w:left w:w="0" w:type="dxa"/>
            <w:right w:w="0" w:type="dxa"/>
          </w:tblCellMar>
          <w:tblLook w:val="04A0"/>
        </w:tblPrEx>
        <w:tc>
          <w:tcPr>
            <w:tcW w:w="1135" w:type="dxa"/>
            <w:tcMar>
              <w:top w:w="0" w:type="dxa"/>
              <w:left w:w="108" w:type="dxa"/>
              <w:bottom w:w="0" w:type="dxa"/>
              <w:right w:w="108" w:type="dxa"/>
            </w:tcMar>
            <w:hideMark/>
          </w:tcPr>
          <w:p w:rsidR="0071660E" w:rsidRPr="00974380" w:rsidP="00AC2223" w14:paraId="3929B4F5"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 xml:space="preserve">Class </w:t>
            </w:r>
            <w:r>
              <w:rPr>
                <w:rFonts w:asciiTheme="majorHAnsi" w:hAnsiTheme="majorHAnsi" w:cstheme="majorHAnsi"/>
                <w:bCs/>
                <w:sz w:val="16"/>
                <w:szCs w:val="16"/>
              </w:rPr>
              <w:t>C</w:t>
            </w:r>
            <w:r w:rsidRPr="00974380">
              <w:rPr>
                <w:rFonts w:asciiTheme="majorHAnsi" w:hAnsiTheme="majorHAnsi" w:cstheme="majorHAnsi"/>
                <w:bCs/>
                <w:sz w:val="16"/>
                <w:szCs w:val="16"/>
              </w:rPr>
              <w:t xml:space="preserve"> Accumulating</w:t>
            </w:r>
          </w:p>
        </w:tc>
        <w:tc>
          <w:tcPr>
            <w:tcW w:w="1418" w:type="dxa"/>
            <w:tcMar>
              <w:top w:w="0" w:type="dxa"/>
              <w:left w:w="108" w:type="dxa"/>
              <w:bottom w:w="0" w:type="dxa"/>
              <w:right w:w="108" w:type="dxa"/>
            </w:tcMar>
            <w:hideMark/>
          </w:tcPr>
          <w:p w:rsidR="0071660E" w:rsidRPr="00974380" w:rsidP="00AC2223" w14:paraId="100FF9CB"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GBP</w:t>
            </w:r>
          </w:p>
        </w:tc>
        <w:tc>
          <w:tcPr>
            <w:tcW w:w="708" w:type="dxa"/>
          </w:tcPr>
          <w:p w:rsidR="0071660E" w:rsidRPr="009A20BE" w:rsidP="00AC2223" w14:paraId="4FEE8B9B"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w:t>
            </w:r>
            <w:r>
              <w:rPr>
                <w:rFonts w:asciiTheme="majorHAnsi" w:hAnsiTheme="majorHAnsi" w:cstheme="majorHAnsi"/>
                <w:bCs/>
                <w:sz w:val="16"/>
                <w:szCs w:val="16"/>
              </w:rPr>
              <w:t>1</w:t>
            </w:r>
            <w:r w:rsidRPr="00974380">
              <w:rPr>
                <w:rFonts w:asciiTheme="majorHAnsi" w:hAnsiTheme="majorHAnsi" w:cstheme="majorHAnsi"/>
                <w:bCs/>
                <w:sz w:val="16"/>
                <w:szCs w:val="16"/>
              </w:rPr>
              <w:t>00</w:t>
            </w:r>
          </w:p>
        </w:tc>
        <w:tc>
          <w:tcPr>
            <w:tcW w:w="851" w:type="dxa"/>
            <w:tcMar>
              <w:top w:w="0" w:type="dxa"/>
              <w:left w:w="108" w:type="dxa"/>
              <w:bottom w:w="0" w:type="dxa"/>
              <w:right w:w="108" w:type="dxa"/>
            </w:tcMar>
            <w:hideMark/>
          </w:tcPr>
          <w:p w:rsidR="0071660E" w:rsidRPr="00974380" w:rsidP="00AC2223" w14:paraId="0D6E8F41"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850" w:type="dxa"/>
            <w:tcMar>
              <w:top w:w="0" w:type="dxa"/>
              <w:left w:w="108" w:type="dxa"/>
              <w:bottom w:w="0" w:type="dxa"/>
              <w:right w:w="108" w:type="dxa"/>
            </w:tcMar>
            <w:hideMark/>
          </w:tcPr>
          <w:p w:rsidR="0071660E" w:rsidRPr="00974380" w:rsidP="00AC2223" w14:paraId="657A7133"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0%</w:t>
            </w:r>
          </w:p>
        </w:tc>
        <w:tc>
          <w:tcPr>
            <w:tcW w:w="1276" w:type="dxa"/>
            <w:tcMar>
              <w:top w:w="0" w:type="dxa"/>
              <w:left w:w="108" w:type="dxa"/>
              <w:bottom w:w="0" w:type="dxa"/>
              <w:right w:w="108" w:type="dxa"/>
            </w:tcMar>
            <w:hideMark/>
          </w:tcPr>
          <w:p w:rsidR="0071660E" w:rsidRPr="00974380" w:rsidP="00AC2223" w14:paraId="2555A166"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1.0</w:t>
            </w:r>
            <w:r>
              <w:rPr>
                <w:rFonts w:asciiTheme="majorHAnsi" w:hAnsiTheme="majorHAnsi" w:cstheme="majorHAnsi"/>
                <w:bCs/>
                <w:sz w:val="16"/>
                <w:szCs w:val="16"/>
              </w:rPr>
              <w:t>3</w:t>
            </w:r>
            <w:r w:rsidRPr="00974380">
              <w:rPr>
                <w:rFonts w:asciiTheme="majorHAnsi" w:hAnsiTheme="majorHAnsi" w:cstheme="majorHAnsi"/>
                <w:bCs/>
                <w:sz w:val="16"/>
                <w:szCs w:val="16"/>
              </w:rPr>
              <w:t>%</w:t>
            </w:r>
          </w:p>
        </w:tc>
        <w:tc>
          <w:tcPr>
            <w:tcW w:w="1134" w:type="dxa"/>
            <w:tcMar>
              <w:top w:w="0" w:type="dxa"/>
              <w:left w:w="108" w:type="dxa"/>
              <w:bottom w:w="0" w:type="dxa"/>
              <w:right w:w="108" w:type="dxa"/>
            </w:tcMar>
            <w:hideMark/>
          </w:tcPr>
          <w:p w:rsidR="0071660E" w:rsidRPr="00974380" w:rsidP="00AC2223" w14:paraId="611D80CC"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w:t>
            </w:r>
            <w:r>
              <w:rPr>
                <w:rFonts w:asciiTheme="majorHAnsi" w:hAnsiTheme="majorHAnsi" w:cstheme="majorHAnsi"/>
                <w:bCs/>
                <w:sz w:val="16"/>
                <w:szCs w:val="16"/>
              </w:rPr>
              <w:t>100</w:t>
            </w:r>
          </w:p>
        </w:tc>
        <w:tc>
          <w:tcPr>
            <w:tcW w:w="1134" w:type="dxa"/>
            <w:tcMar>
              <w:top w:w="0" w:type="dxa"/>
              <w:left w:w="108" w:type="dxa"/>
              <w:bottom w:w="0" w:type="dxa"/>
              <w:right w:w="108" w:type="dxa"/>
            </w:tcMar>
            <w:hideMark/>
          </w:tcPr>
          <w:p w:rsidR="0071660E" w:rsidRPr="00974380" w:rsidP="00AC2223" w14:paraId="43E2FB89"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w:t>
            </w:r>
            <w:r>
              <w:rPr>
                <w:rFonts w:asciiTheme="majorHAnsi" w:hAnsiTheme="majorHAnsi" w:cstheme="majorHAnsi"/>
                <w:bCs/>
                <w:sz w:val="16"/>
                <w:szCs w:val="16"/>
              </w:rPr>
              <w:t>100</w:t>
            </w:r>
          </w:p>
        </w:tc>
        <w:tc>
          <w:tcPr>
            <w:tcW w:w="992" w:type="dxa"/>
            <w:tcMar>
              <w:top w:w="0" w:type="dxa"/>
              <w:left w:w="108" w:type="dxa"/>
              <w:bottom w:w="0" w:type="dxa"/>
              <w:right w:w="108" w:type="dxa"/>
            </w:tcMar>
            <w:hideMark/>
          </w:tcPr>
          <w:p w:rsidR="0071660E" w:rsidRPr="00974380" w:rsidP="00AC2223" w14:paraId="75D8800C"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w:t>
            </w:r>
            <w:r>
              <w:rPr>
                <w:rFonts w:asciiTheme="majorHAnsi" w:hAnsiTheme="majorHAnsi" w:cstheme="majorHAnsi"/>
                <w:bCs/>
                <w:sz w:val="16"/>
                <w:szCs w:val="16"/>
              </w:rPr>
              <w:t>100</w:t>
            </w:r>
          </w:p>
        </w:tc>
        <w:tc>
          <w:tcPr>
            <w:tcW w:w="1276" w:type="dxa"/>
            <w:tcMar>
              <w:top w:w="0" w:type="dxa"/>
              <w:left w:w="108" w:type="dxa"/>
              <w:bottom w:w="0" w:type="dxa"/>
              <w:right w:w="108" w:type="dxa"/>
            </w:tcMar>
            <w:hideMark/>
          </w:tcPr>
          <w:p w:rsidR="0071660E" w:rsidRPr="00974380" w:rsidP="00AC2223" w14:paraId="0DB53EEE" w14:textId="77777777">
            <w:pPr>
              <w:spacing w:line="264" w:lineRule="auto"/>
              <w:rPr>
                <w:rFonts w:asciiTheme="majorHAnsi" w:hAnsiTheme="majorHAnsi" w:cstheme="majorHAnsi"/>
                <w:bCs/>
                <w:color w:val="auto"/>
                <w:sz w:val="16"/>
                <w:szCs w:val="16"/>
                <w:shd w:val="clear" w:color="auto" w:fill="auto"/>
              </w:rPr>
            </w:pPr>
            <w:r w:rsidRPr="00974380">
              <w:rPr>
                <w:rFonts w:asciiTheme="majorHAnsi" w:hAnsiTheme="majorHAnsi" w:cstheme="majorHAnsi"/>
                <w:bCs/>
                <w:sz w:val="16"/>
                <w:szCs w:val="16"/>
              </w:rPr>
              <w:t>£</w:t>
            </w:r>
            <w:r>
              <w:rPr>
                <w:rFonts w:asciiTheme="majorHAnsi" w:hAnsiTheme="majorHAnsi" w:cstheme="majorHAnsi"/>
                <w:bCs/>
                <w:sz w:val="16"/>
                <w:szCs w:val="16"/>
              </w:rPr>
              <w:t>100</w:t>
            </w:r>
          </w:p>
        </w:tc>
      </w:tr>
    </w:tbl>
    <w:p w:rsidR="0071660E" w:rsidP="0071660E" w14:paraId="7C1791B4" w14:textId="77777777">
      <w:pPr>
        <w:spacing w:line="264" w:lineRule="auto"/>
        <w:rPr>
          <w:b/>
          <w:color w:val="auto"/>
          <w:sz w:val="20"/>
          <w:szCs w:val="20"/>
          <w:shd w:val="clear" w:color="auto" w:fill="auto"/>
        </w:rPr>
      </w:pPr>
    </w:p>
    <w:p w:rsidR="0071660E" w:rsidP="0071660E" w14:paraId="2F3D9F67" w14:textId="54319FA4">
      <w:pPr>
        <w:spacing w:line="264" w:lineRule="auto"/>
        <w:rPr>
          <w:b/>
          <w:color w:val="auto"/>
          <w:sz w:val="20"/>
          <w:szCs w:val="20"/>
          <w:shd w:val="clear" w:color="auto" w:fill="auto"/>
        </w:rPr>
      </w:pPr>
      <w:r>
        <w:rPr>
          <w:b/>
          <w:sz w:val="20"/>
          <w:szCs w:val="20"/>
        </w:rPr>
        <w:t xml:space="preserve">*Once the Net Asset Value of the Fund reaches </w:t>
      </w:r>
      <w:r w:rsidRPr="007A090E">
        <w:rPr>
          <w:b/>
          <w:sz w:val="20"/>
          <w:szCs w:val="20"/>
        </w:rPr>
        <w:t>£100</w:t>
      </w:r>
      <w:r>
        <w:rPr>
          <w:b/>
          <w:sz w:val="20"/>
          <w:szCs w:val="20"/>
        </w:rPr>
        <w:t>,000,000,</w:t>
      </w:r>
      <w:r w:rsidRPr="007A459B">
        <w:rPr>
          <w:b/>
          <w:sz w:val="20"/>
          <w:szCs w:val="20"/>
        </w:rPr>
        <w:t xml:space="preserve"> the Management Fee payable for </w:t>
      </w:r>
      <w:r w:rsidRPr="007A090E">
        <w:rPr>
          <w:b/>
          <w:sz w:val="20"/>
          <w:szCs w:val="20"/>
        </w:rPr>
        <w:t xml:space="preserve">Class </w:t>
      </w:r>
      <w:r w:rsidRPr="007A459B">
        <w:rPr>
          <w:b/>
          <w:sz w:val="20"/>
          <w:szCs w:val="20"/>
        </w:rPr>
        <w:t>S</w:t>
      </w:r>
      <w:r w:rsidRPr="007A090E">
        <w:rPr>
          <w:b/>
          <w:sz w:val="20"/>
          <w:szCs w:val="20"/>
        </w:rPr>
        <w:t xml:space="preserve"> </w:t>
      </w:r>
      <w:r>
        <w:rPr>
          <w:b/>
          <w:sz w:val="20"/>
          <w:szCs w:val="20"/>
        </w:rPr>
        <w:t>Distributing</w:t>
      </w:r>
      <w:r w:rsidRPr="007A459B">
        <w:rPr>
          <w:b/>
          <w:sz w:val="20"/>
          <w:szCs w:val="20"/>
        </w:rPr>
        <w:t xml:space="preserve"> </w:t>
      </w:r>
      <w:r w:rsidRPr="007A090E">
        <w:rPr>
          <w:b/>
          <w:sz w:val="20"/>
          <w:szCs w:val="20"/>
        </w:rPr>
        <w:t xml:space="preserve">Shares </w:t>
      </w:r>
      <w:r>
        <w:rPr>
          <w:b/>
          <w:sz w:val="20"/>
          <w:szCs w:val="20"/>
        </w:rPr>
        <w:t xml:space="preserve">(as set out in the table above) </w:t>
      </w:r>
      <w:r w:rsidRPr="007A459B">
        <w:rPr>
          <w:b/>
          <w:sz w:val="20"/>
          <w:szCs w:val="20"/>
        </w:rPr>
        <w:t>may be reduced to 0.75%</w:t>
      </w:r>
      <w:r>
        <w:rPr>
          <w:b/>
          <w:sz w:val="20"/>
          <w:szCs w:val="20"/>
        </w:rPr>
        <w:t>. Class S Accumulating Shares are only available for subscription by f</w:t>
      </w:r>
      <w:r w:rsidRPr="00355225">
        <w:rPr>
          <w:b/>
          <w:sz w:val="20"/>
          <w:szCs w:val="20"/>
        </w:rPr>
        <w:t xml:space="preserve">ounder investors </w:t>
      </w:r>
      <w:r>
        <w:rPr>
          <w:b/>
          <w:sz w:val="20"/>
          <w:szCs w:val="20"/>
        </w:rPr>
        <w:t>at the sole discretion of the Directors.</w:t>
      </w:r>
    </w:p>
    <w:p w:rsidR="0075451C" w:rsidP="0071660E" w14:paraId="0EC644CD" w14:textId="674A275D">
      <w:pPr>
        <w:spacing w:line="264" w:lineRule="auto"/>
        <w:rPr>
          <w:b/>
          <w:color w:val="auto"/>
          <w:sz w:val="20"/>
          <w:szCs w:val="20"/>
          <w:shd w:val="clear" w:color="auto" w:fill="auto"/>
        </w:rPr>
      </w:pPr>
    </w:p>
    <w:p w:rsidR="0071660E" w:rsidRPr="00BC5C56" w:rsidP="0071660E" w14:paraId="5A3DBC95" w14:textId="77777777">
      <w:pPr>
        <w:spacing w:line="264" w:lineRule="auto"/>
        <w:rPr>
          <w:color w:val="auto"/>
          <w:sz w:val="20"/>
          <w:szCs w:val="20"/>
          <w:shd w:val="clear" w:color="auto" w:fill="auto"/>
        </w:rPr>
      </w:pPr>
      <w:r w:rsidRPr="00BC5C56">
        <w:rPr>
          <w:b/>
          <w:sz w:val="20"/>
          <w:szCs w:val="20"/>
        </w:rPr>
        <w:t>Base Currency</w:t>
      </w:r>
      <w:r w:rsidRPr="00BC5C56">
        <w:rPr>
          <w:sz w:val="20"/>
          <w:szCs w:val="20"/>
        </w:rPr>
        <w:t xml:space="preserve"> means </w:t>
      </w:r>
      <w:r>
        <w:rPr>
          <w:sz w:val="20"/>
          <w:szCs w:val="20"/>
        </w:rPr>
        <w:t>US Dollar</w:t>
      </w:r>
      <w:r w:rsidRPr="00BC5C56">
        <w:rPr>
          <w:sz w:val="20"/>
          <w:szCs w:val="20"/>
        </w:rPr>
        <w:t>.</w:t>
      </w:r>
    </w:p>
    <w:p w:rsidR="0071660E" w:rsidRPr="00BC5C56" w:rsidP="0071660E" w14:paraId="0D7892FF" w14:textId="77777777">
      <w:pPr>
        <w:spacing w:line="264" w:lineRule="auto"/>
        <w:rPr>
          <w:color w:val="auto"/>
          <w:sz w:val="20"/>
          <w:szCs w:val="20"/>
          <w:shd w:val="clear" w:color="auto" w:fill="auto"/>
        </w:rPr>
      </w:pPr>
    </w:p>
    <w:p w:rsidR="0071660E" w:rsidRPr="00BC5C56" w:rsidP="0071660E" w14:paraId="65AC0592" w14:textId="77777777">
      <w:pPr>
        <w:spacing w:line="264" w:lineRule="auto"/>
        <w:rPr>
          <w:b/>
          <w:color w:val="auto"/>
          <w:sz w:val="20"/>
          <w:szCs w:val="20"/>
          <w:shd w:val="clear" w:color="auto" w:fill="auto"/>
        </w:rPr>
      </w:pPr>
      <w:r w:rsidRPr="00BC5C56">
        <w:rPr>
          <w:b/>
          <w:sz w:val="20"/>
          <w:szCs w:val="20"/>
        </w:rPr>
        <w:t xml:space="preserve">Business Day </w:t>
      </w:r>
      <w:r w:rsidRPr="00BC5C56">
        <w:rPr>
          <w:sz w:val="20"/>
          <w:szCs w:val="20"/>
        </w:rPr>
        <w:t>means every day on which banks in Ireland are open for normal business or such other day(s) as the Directors may determine and notify to Shareholders in advance.</w:t>
      </w:r>
    </w:p>
    <w:p w:rsidR="0071660E" w:rsidRPr="00BC5C56" w:rsidP="0071660E" w14:paraId="135E9014" w14:textId="77777777">
      <w:pPr>
        <w:spacing w:line="264" w:lineRule="auto"/>
        <w:rPr>
          <w:b/>
          <w:color w:val="auto"/>
          <w:sz w:val="20"/>
          <w:szCs w:val="20"/>
          <w:shd w:val="clear" w:color="auto" w:fill="auto"/>
        </w:rPr>
      </w:pPr>
    </w:p>
    <w:p w:rsidR="0071660E" w:rsidRPr="00BC5C56" w:rsidP="0071660E" w14:paraId="2DCA012B" w14:textId="77777777">
      <w:pPr>
        <w:spacing w:line="264" w:lineRule="auto"/>
        <w:rPr>
          <w:color w:val="auto"/>
          <w:sz w:val="20"/>
          <w:szCs w:val="20"/>
          <w:highlight w:val="yellow"/>
          <w:shd w:val="clear" w:color="auto" w:fill="auto"/>
        </w:rPr>
      </w:pPr>
      <w:r w:rsidRPr="00BC5C56">
        <w:rPr>
          <w:b/>
          <w:sz w:val="20"/>
          <w:szCs w:val="20"/>
        </w:rPr>
        <w:t>Dealing Day</w:t>
      </w:r>
      <w:r w:rsidRPr="00BC5C56">
        <w:rPr>
          <w:sz w:val="20"/>
          <w:szCs w:val="20"/>
        </w:rPr>
        <w:t xml:space="preserve"> means any Business Day.  </w:t>
      </w:r>
    </w:p>
    <w:p w:rsidR="0071660E" w:rsidRPr="00BC5C56" w:rsidP="0071660E" w14:paraId="399BA769" w14:textId="77777777">
      <w:pPr>
        <w:spacing w:line="264" w:lineRule="auto"/>
        <w:rPr>
          <w:rFonts w:ascii="Verdana" w:eastAsia="Times New Roman" w:hAnsi="Verdana"/>
          <w:color w:val="auto"/>
          <w:sz w:val="20"/>
          <w:szCs w:val="20"/>
          <w:highlight w:val="yellow"/>
          <w:shd w:val="clear" w:color="auto" w:fill="auto"/>
        </w:rPr>
      </w:pPr>
    </w:p>
    <w:p w:rsidR="0071660E" w:rsidRPr="00BC5C56" w:rsidP="0071660E" w14:paraId="23724A5A" w14:textId="77777777">
      <w:pPr>
        <w:spacing w:line="264" w:lineRule="auto"/>
        <w:rPr>
          <w:color w:val="auto"/>
          <w:sz w:val="20"/>
          <w:szCs w:val="20"/>
          <w:shd w:val="clear" w:color="auto" w:fill="auto"/>
        </w:rPr>
      </w:pPr>
      <w:r w:rsidRPr="00BC5C56">
        <w:rPr>
          <w:b/>
          <w:sz w:val="20"/>
          <w:szCs w:val="20"/>
        </w:rPr>
        <w:t xml:space="preserve">Dealing Deadline </w:t>
      </w:r>
      <w:r w:rsidRPr="00BC5C56">
        <w:rPr>
          <w:sz w:val="20"/>
          <w:szCs w:val="20"/>
        </w:rPr>
        <w:t xml:space="preserve">means </w:t>
      </w:r>
      <w:bookmarkStart w:id="34" w:name="_Hlk9603687"/>
      <w:r w:rsidRPr="00BC5C56">
        <w:rPr>
          <w:sz w:val="20"/>
          <w:szCs w:val="20"/>
        </w:rPr>
        <w:t>12</w:t>
      </w:r>
      <w:bookmarkEnd w:id="34"/>
      <w:r w:rsidRPr="00BC5C56">
        <w:rPr>
          <w:sz w:val="20"/>
          <w:szCs w:val="20"/>
        </w:rPr>
        <w:t>p.m. (Irish time) on the Business Day immediately preceding the relevant Dealing Day.</w:t>
      </w:r>
    </w:p>
    <w:p w:rsidR="0071660E" w:rsidRPr="00BC5C56" w:rsidP="0071660E" w14:paraId="729B250D" w14:textId="77777777">
      <w:pPr>
        <w:spacing w:line="264" w:lineRule="auto"/>
        <w:rPr>
          <w:b/>
          <w:color w:val="auto"/>
          <w:sz w:val="20"/>
          <w:szCs w:val="20"/>
          <w:shd w:val="clear" w:color="auto" w:fill="auto"/>
        </w:rPr>
      </w:pPr>
    </w:p>
    <w:p w:rsidR="0071660E" w:rsidRPr="00BC5C56" w:rsidP="0071660E" w14:paraId="44E95311" w14:textId="7B01B750">
      <w:pPr>
        <w:spacing w:line="264" w:lineRule="auto"/>
        <w:rPr>
          <w:color w:val="auto"/>
          <w:sz w:val="20"/>
          <w:szCs w:val="20"/>
          <w:shd w:val="clear" w:color="auto" w:fill="auto"/>
        </w:rPr>
      </w:pPr>
      <w:r w:rsidRPr="00BC5C56">
        <w:rPr>
          <w:b/>
          <w:sz w:val="20"/>
          <w:szCs w:val="20"/>
        </w:rPr>
        <w:t>Initial Offer Period</w:t>
      </w:r>
      <w:r w:rsidRPr="00BC5C56">
        <w:rPr>
          <w:sz w:val="20"/>
          <w:szCs w:val="20"/>
        </w:rPr>
        <w:t xml:space="preserve">: The Initial Offer Period for </w:t>
      </w:r>
      <w:r>
        <w:rPr>
          <w:sz w:val="20"/>
          <w:szCs w:val="20"/>
        </w:rPr>
        <w:t xml:space="preserve">Class S Distributing Shares and Class C Accumulating Shares </w:t>
      </w:r>
      <w:r w:rsidRPr="00063DA9">
        <w:rPr>
          <w:sz w:val="20"/>
          <w:szCs w:val="20"/>
        </w:rPr>
        <w:t xml:space="preserve">means 9.00 a.m. (Irish time) on </w:t>
      </w:r>
      <w:r w:rsidR="006A105A">
        <w:rPr>
          <w:sz w:val="20"/>
          <w:szCs w:val="20"/>
        </w:rPr>
        <w:t>1</w:t>
      </w:r>
      <w:r w:rsidR="0070403E">
        <w:rPr>
          <w:sz w:val="20"/>
          <w:szCs w:val="20"/>
        </w:rPr>
        <w:t>7</w:t>
      </w:r>
      <w:r w:rsidR="006A105A">
        <w:rPr>
          <w:sz w:val="20"/>
          <w:szCs w:val="20"/>
        </w:rPr>
        <w:t xml:space="preserve"> November</w:t>
      </w:r>
      <w:r w:rsidRPr="00063DA9">
        <w:rPr>
          <w:sz w:val="20"/>
          <w:szCs w:val="20"/>
        </w:rPr>
        <w:t xml:space="preserve"> 2021 to 5.30 p.m. (Irish time) on </w:t>
      </w:r>
      <w:r w:rsidR="006A105A">
        <w:rPr>
          <w:sz w:val="20"/>
          <w:szCs w:val="20"/>
        </w:rPr>
        <w:t>1</w:t>
      </w:r>
      <w:r w:rsidR="0070403E">
        <w:rPr>
          <w:sz w:val="20"/>
          <w:szCs w:val="20"/>
        </w:rPr>
        <w:t>7</w:t>
      </w:r>
      <w:r w:rsidR="006A105A">
        <w:rPr>
          <w:sz w:val="20"/>
          <w:szCs w:val="20"/>
        </w:rPr>
        <w:t xml:space="preserve"> May</w:t>
      </w:r>
      <w:r w:rsidRPr="00063DA9">
        <w:rPr>
          <w:sz w:val="20"/>
          <w:szCs w:val="20"/>
        </w:rPr>
        <w:t xml:space="preserve"> 202</w:t>
      </w:r>
      <w:r w:rsidR="006A105A">
        <w:rPr>
          <w:sz w:val="20"/>
          <w:szCs w:val="20"/>
        </w:rPr>
        <w:t>2</w:t>
      </w:r>
      <w:r w:rsidRPr="00063DA9">
        <w:rPr>
          <w:sz w:val="20"/>
          <w:szCs w:val="20"/>
        </w:rPr>
        <w:t>, or such shorter or longer period as the Directors may determine on behalf of the Fund and notify to the Administrator.</w:t>
      </w:r>
      <w:r>
        <w:rPr>
          <w:sz w:val="20"/>
          <w:szCs w:val="20"/>
        </w:rPr>
        <w:t xml:space="preserve"> </w:t>
      </w:r>
      <w:r w:rsidRPr="00BC5C56">
        <w:rPr>
          <w:sz w:val="20"/>
          <w:szCs w:val="20"/>
        </w:rPr>
        <w:t>Where the Initial Offer Period is shortened or extended, the ICAV will notify the Central Bank in accordance with the Central Bank's requirements.</w:t>
      </w:r>
    </w:p>
    <w:p w:rsidR="0071660E" w:rsidP="0071660E" w14:paraId="46248A05" w14:textId="77777777">
      <w:pPr>
        <w:spacing w:before="240" w:line="264" w:lineRule="auto"/>
        <w:rPr>
          <w:color w:val="auto"/>
          <w:sz w:val="20"/>
          <w:szCs w:val="20"/>
          <w:shd w:val="clear" w:color="auto" w:fill="auto"/>
        </w:rPr>
      </w:pPr>
      <w:r w:rsidRPr="00BC5C56">
        <w:rPr>
          <w:b/>
          <w:sz w:val="20"/>
          <w:szCs w:val="20"/>
        </w:rPr>
        <w:t xml:space="preserve">Initial Issue Price </w:t>
      </w:r>
      <w:r w:rsidRPr="00BC5C56">
        <w:rPr>
          <w:sz w:val="20"/>
          <w:szCs w:val="20"/>
        </w:rPr>
        <w:t>means, during the Initial Offer Period, the Initial Issue Price and following the close of the Initial Offer Period, the prevailing Net Asset Value per Share.</w:t>
      </w:r>
    </w:p>
    <w:p w:rsidR="0071660E" w:rsidRPr="00BC5C56" w:rsidP="0071660E" w14:paraId="739EAD63" w14:textId="77777777">
      <w:pPr>
        <w:spacing w:before="240" w:line="264" w:lineRule="auto"/>
        <w:rPr>
          <w:color w:val="auto"/>
          <w:sz w:val="20"/>
          <w:szCs w:val="20"/>
          <w:shd w:val="clear" w:color="auto" w:fill="auto"/>
        </w:rPr>
      </w:pPr>
      <w:r w:rsidRPr="00BC5C56">
        <w:rPr>
          <w:b/>
          <w:sz w:val="20"/>
          <w:szCs w:val="20"/>
        </w:rPr>
        <w:t xml:space="preserve">Minimum Fund Size </w:t>
      </w:r>
      <w:r w:rsidRPr="00BC5C56">
        <w:rPr>
          <w:sz w:val="20"/>
          <w:szCs w:val="20"/>
        </w:rPr>
        <w:t>means £</w:t>
      </w:r>
      <w:r>
        <w:rPr>
          <w:sz w:val="20"/>
          <w:szCs w:val="20"/>
        </w:rPr>
        <w:t>20</w:t>
      </w:r>
      <w:r w:rsidRPr="00BC5C56">
        <w:rPr>
          <w:sz w:val="20"/>
          <w:szCs w:val="20"/>
        </w:rPr>
        <w:t xml:space="preserve">,000 or foreign currency equivalent thereof or such other amount as may be determined by the Directors at their discretion. When the size of the Fund is below such amount or foreign currency equivalent, the Directors of the ICAV may compulsorily redeem </w:t>
      </w:r>
      <w:r w:rsidRPr="00BC5C56">
        <w:rPr>
          <w:sz w:val="20"/>
          <w:szCs w:val="20"/>
        </w:rPr>
        <w:t>all of</w:t>
      </w:r>
      <w:r w:rsidRPr="00BC5C56">
        <w:rPr>
          <w:sz w:val="20"/>
          <w:szCs w:val="20"/>
        </w:rPr>
        <w:t xml:space="preserve"> the Shares of the Fund in accordance with the “Compulsory Redemption of Shares/Deduction of Tax” section of the Prospectus.</w:t>
      </w:r>
    </w:p>
    <w:p w:rsidR="0071660E" w:rsidRPr="00BC5C56" w:rsidP="0071660E" w14:paraId="296E9492" w14:textId="77777777">
      <w:pPr>
        <w:spacing w:line="264" w:lineRule="auto"/>
        <w:rPr>
          <w:b/>
          <w:color w:val="auto"/>
          <w:sz w:val="20"/>
          <w:szCs w:val="20"/>
          <w:shd w:val="clear" w:color="auto" w:fill="auto"/>
        </w:rPr>
      </w:pPr>
    </w:p>
    <w:p w:rsidR="0071660E" w:rsidRPr="00BC5C56" w:rsidP="0071660E" w14:paraId="12467B49" w14:textId="77777777">
      <w:pPr>
        <w:spacing w:line="264" w:lineRule="auto"/>
        <w:rPr>
          <w:color w:val="auto"/>
          <w:sz w:val="20"/>
          <w:szCs w:val="20"/>
          <w:shd w:val="clear" w:color="auto" w:fill="auto"/>
        </w:rPr>
      </w:pPr>
      <w:r w:rsidRPr="00BC5C56">
        <w:rPr>
          <w:b/>
          <w:sz w:val="20"/>
          <w:szCs w:val="20"/>
        </w:rPr>
        <w:t xml:space="preserve">Settlement Period </w:t>
      </w:r>
      <w:r w:rsidRPr="00BC5C56">
        <w:rPr>
          <w:sz w:val="20"/>
          <w:szCs w:val="20"/>
        </w:rPr>
        <w:t xml:space="preserve">means (i) for subscriptions, </w:t>
      </w:r>
      <w:r>
        <w:rPr>
          <w:sz w:val="20"/>
          <w:szCs w:val="20"/>
        </w:rPr>
        <w:t>the fourth</w:t>
      </w:r>
      <w:r w:rsidRPr="00BC5C56">
        <w:rPr>
          <w:sz w:val="20"/>
          <w:szCs w:val="20"/>
        </w:rPr>
        <w:t xml:space="preserve"> Business Day following the relevant Dealing Day or such other time determined by the Directors in accordance with the requirements of the Central Bank; (ii) for redemptions, the </w:t>
      </w:r>
      <w:r>
        <w:rPr>
          <w:sz w:val="20"/>
          <w:szCs w:val="20"/>
        </w:rPr>
        <w:t>fourth</w:t>
      </w:r>
      <w:r w:rsidRPr="00BC5C56">
        <w:rPr>
          <w:sz w:val="20"/>
          <w:szCs w:val="20"/>
        </w:rPr>
        <w:t xml:space="preserve"> Business Day following the relevant Dealing Day or such other time determined by the Directors in accordance with the requirements of the Central Bank.</w:t>
      </w:r>
    </w:p>
    <w:p w:rsidR="0071660E" w:rsidRPr="00BC5C56" w:rsidP="0071660E" w14:paraId="34F4559E" w14:textId="77777777">
      <w:pPr>
        <w:spacing w:line="264" w:lineRule="auto"/>
        <w:rPr>
          <w:b/>
          <w:color w:val="auto"/>
          <w:sz w:val="20"/>
          <w:szCs w:val="20"/>
          <w:shd w:val="clear" w:color="auto" w:fill="auto"/>
        </w:rPr>
      </w:pPr>
    </w:p>
    <w:p w:rsidR="0071660E" w:rsidRPr="00BC5C56" w:rsidP="0071660E" w14:paraId="1C856DC9" w14:textId="77777777">
      <w:pPr>
        <w:spacing w:line="264" w:lineRule="auto"/>
        <w:rPr>
          <w:color w:val="auto"/>
          <w:sz w:val="20"/>
          <w:szCs w:val="20"/>
          <w:shd w:val="clear" w:color="auto" w:fill="auto"/>
        </w:rPr>
      </w:pPr>
      <w:r w:rsidRPr="00BC5C56">
        <w:rPr>
          <w:b/>
          <w:sz w:val="20"/>
          <w:szCs w:val="20"/>
        </w:rPr>
        <w:t xml:space="preserve">Valuation Point </w:t>
      </w:r>
      <w:r w:rsidRPr="00BC5C56">
        <w:rPr>
          <w:sz w:val="20"/>
          <w:szCs w:val="20"/>
        </w:rPr>
        <w:t xml:space="preserve">means the close of business on the Dealing Day or such other time as the Directors may determine from time to time and notify in advance to Shareholders. </w:t>
      </w:r>
    </w:p>
    <w:p w:rsidR="0071660E" w:rsidRPr="00BC5C56" w:rsidP="0071660E" w14:paraId="45D17443" w14:textId="77777777">
      <w:pPr>
        <w:spacing w:line="264" w:lineRule="auto"/>
        <w:rPr>
          <w:color w:val="auto"/>
          <w:sz w:val="20"/>
          <w:szCs w:val="20"/>
          <w:shd w:val="clear" w:color="auto" w:fill="auto"/>
        </w:rPr>
      </w:pPr>
    </w:p>
    <w:p w:rsidR="0071660E" w:rsidRPr="00BC5C56" w:rsidP="0071660E" w14:paraId="0F6609AE" w14:textId="77777777">
      <w:pPr>
        <w:pStyle w:val="Heading1"/>
        <w:rPr>
          <w:color w:val="auto"/>
          <w:sz w:val="20"/>
          <w:szCs w:val="20"/>
          <w:shd w:val="clear" w:color="auto" w:fill="auto"/>
        </w:rPr>
      </w:pPr>
      <w:bookmarkStart w:id="35" w:name="_Toc36113834"/>
      <w:bookmarkStart w:id="36" w:name="_Toc49264369"/>
      <w:r w:rsidRPr="00BC5C56">
        <w:rPr>
          <w:sz w:val="20"/>
          <w:szCs w:val="20"/>
        </w:rPr>
        <w:t>Application for Shares</w:t>
      </w:r>
      <w:bookmarkEnd w:id="35"/>
      <w:bookmarkEnd w:id="36"/>
    </w:p>
    <w:p w:rsidR="0071660E" w:rsidRPr="00BC5C56" w:rsidP="0071660E" w14:paraId="588E1BCC" w14:textId="77777777">
      <w:pPr>
        <w:pStyle w:val="ssPara1"/>
        <w:rPr>
          <w:color w:val="auto"/>
          <w:sz w:val="20"/>
          <w:szCs w:val="20"/>
          <w:shd w:val="clear" w:color="auto" w:fill="auto"/>
        </w:rPr>
      </w:pPr>
      <w:r w:rsidRPr="00BC5C56">
        <w:rPr>
          <w:sz w:val="20"/>
          <w:szCs w:val="20"/>
        </w:rPr>
        <w:t xml:space="preserve">Applications for Shares may be made to the Administrator (or to the </w:t>
      </w:r>
      <w:r>
        <w:rPr>
          <w:sz w:val="20"/>
          <w:szCs w:val="20"/>
        </w:rPr>
        <w:t>d</w:t>
      </w:r>
      <w:r w:rsidRPr="00BC5C56">
        <w:rPr>
          <w:sz w:val="20"/>
          <w:szCs w:val="20"/>
        </w:rPr>
        <w:t>istributor for onward transmission to the Administrator) (whose details are set out in the Application Form). Applications received by the Administrator prior to the Dealing Deadline for any Dealing Day, will be processed on that Dealing Day. Applications received after the Dealing Deadline will not be accepted. However, applications may be accepted in exceptional circumstances after the Dealing Deadline provided that (a) this is approved by the Manager acting on behalf of the ICAV in consultation with the Directors; and (b) the exceptional circumstances are fully documented by the Manager acting on behalf of the ICAV in consultation with the Directors.</w:t>
      </w:r>
    </w:p>
    <w:p w:rsidR="0071660E" w:rsidRPr="00BC5C56" w:rsidP="0071660E" w14:paraId="5ECD34CD" w14:textId="77777777">
      <w:pPr>
        <w:pStyle w:val="ssPara1"/>
        <w:rPr>
          <w:color w:val="auto"/>
          <w:sz w:val="20"/>
          <w:szCs w:val="20"/>
          <w:shd w:val="clear" w:color="auto" w:fill="auto"/>
        </w:rPr>
      </w:pPr>
      <w:r w:rsidRPr="00BC5C56">
        <w:rPr>
          <w:sz w:val="20"/>
          <w:szCs w:val="20"/>
        </w:rPr>
        <w:t>Any applications received after the Dealing Deadline for a particular Dealing Day will be processed on the following Dealing Day, unless the Manager acting on behalf of the ICAV in its absolute discretion, in exceptional circumstances, otherwise determines to accept one or more applications received after the Dealing Deadline for processing on that Dealing Day, provided that such application(s) have been received prior to the Valuation Point for the particular Dealing Day and such exceptional circumstances have been fully documented by the Manager acting on behalf of the ICAV.</w:t>
      </w:r>
    </w:p>
    <w:p w:rsidR="0071660E" w:rsidRPr="00BC5C56" w:rsidP="0071660E" w14:paraId="016F988F" w14:textId="77777777">
      <w:pPr>
        <w:pStyle w:val="ssPara1"/>
        <w:rPr>
          <w:color w:val="auto"/>
          <w:sz w:val="20"/>
          <w:szCs w:val="20"/>
          <w:shd w:val="clear" w:color="auto" w:fill="auto"/>
        </w:rPr>
      </w:pPr>
      <w:r w:rsidRPr="00BC5C56">
        <w:rPr>
          <w:sz w:val="20"/>
          <w:szCs w:val="20"/>
        </w:rPr>
        <w:t xml:space="preserve">Initial applications should be made by providing an original signed Application Form but may, if the Directors so determine, be made by facsimile subject to prompt transmission to the Administrator (or to the Manager for onward transmission to the Administrator) of the original signed Application Form and such other papers (such as documentation relating to money laundering prevention checks) as may be required by the Directors or their delegate. </w:t>
      </w:r>
    </w:p>
    <w:p w:rsidR="0071660E" w:rsidRPr="00BC5C56" w:rsidP="0071660E" w14:paraId="313C51A2" w14:textId="77777777">
      <w:pPr>
        <w:pStyle w:val="ssPara1"/>
        <w:rPr>
          <w:color w:val="auto"/>
          <w:sz w:val="20"/>
          <w:szCs w:val="20"/>
          <w:shd w:val="clear" w:color="auto" w:fill="auto"/>
        </w:rPr>
      </w:pPr>
      <w:r w:rsidRPr="00BC5C56">
        <w:rPr>
          <w:sz w:val="20"/>
          <w:szCs w:val="20"/>
        </w:rPr>
        <w:t xml:space="preserve">Subsequent applications to purchase Shares following the initial subscription may be made to the Administrator (or to the </w:t>
      </w:r>
      <w:r>
        <w:rPr>
          <w:sz w:val="20"/>
          <w:szCs w:val="20"/>
        </w:rPr>
        <w:t>d</w:t>
      </w:r>
      <w:r w:rsidRPr="00BC5C56">
        <w:rPr>
          <w:sz w:val="20"/>
          <w:szCs w:val="20"/>
        </w:rPr>
        <w:t xml:space="preserve">istributor for onward transmission to the Administrator) by facsimile or electronically without a requirement to submit original documentation and such applications should contain such information as may be specified from time to time by the Directors, the Manager, or their delegate. Amendments to a Shareholder’s registration details and payment instructions will only be </w:t>
      </w:r>
      <w:r w:rsidRPr="00BC5C56">
        <w:rPr>
          <w:sz w:val="20"/>
          <w:szCs w:val="20"/>
        </w:rPr>
        <w:t>effected</w:t>
      </w:r>
      <w:r w:rsidRPr="00BC5C56">
        <w:rPr>
          <w:sz w:val="20"/>
          <w:szCs w:val="20"/>
        </w:rPr>
        <w:t xml:space="preserve"> on receipt of original written instructions or electronic instructions from the relevant Shareholder.</w:t>
      </w:r>
    </w:p>
    <w:p w:rsidR="0071660E" w:rsidRPr="00BC5C56" w:rsidP="0071660E" w14:paraId="721489B8" w14:textId="77777777">
      <w:pPr>
        <w:pStyle w:val="Heading1"/>
        <w:rPr>
          <w:color w:val="auto"/>
          <w:sz w:val="20"/>
          <w:szCs w:val="20"/>
          <w:shd w:val="clear" w:color="auto" w:fill="auto"/>
        </w:rPr>
      </w:pPr>
      <w:bookmarkStart w:id="37" w:name="_Toc36113835"/>
      <w:bookmarkStart w:id="38" w:name="_Toc49264370"/>
      <w:r w:rsidRPr="00BC5C56">
        <w:rPr>
          <w:sz w:val="20"/>
          <w:szCs w:val="20"/>
        </w:rPr>
        <w:t>Redemption of Shares</w:t>
      </w:r>
      <w:bookmarkEnd w:id="37"/>
      <w:bookmarkEnd w:id="38"/>
      <w:r w:rsidRPr="00BC5C56">
        <w:rPr>
          <w:sz w:val="20"/>
          <w:szCs w:val="20"/>
          <w:u w:val="none"/>
        </w:rPr>
        <w:t xml:space="preserve"> </w:t>
      </w:r>
    </w:p>
    <w:p w:rsidR="0071660E" w:rsidRPr="00BC5C56" w:rsidP="0071660E" w14:paraId="18F44355" w14:textId="77777777">
      <w:pPr>
        <w:pStyle w:val="ssPara1"/>
        <w:rPr>
          <w:color w:val="auto"/>
          <w:sz w:val="20"/>
          <w:szCs w:val="20"/>
          <w:shd w:val="clear" w:color="auto" w:fill="auto"/>
        </w:rPr>
      </w:pPr>
      <w:r w:rsidRPr="00BC5C56">
        <w:rPr>
          <w:sz w:val="20"/>
          <w:szCs w:val="20"/>
        </w:rPr>
        <w:t xml:space="preserve">Requests for the redemption of Shares should be made to the Administrator (whose details are set out in the Application Form) by facsimile or written communication and include such information as may be specified from time to time by the Directors or their delegate. Requests for redemptions received prior to the Dealing Deadline for any Dealing Day will be processed on that Dealing Day. </w:t>
      </w:r>
    </w:p>
    <w:p w:rsidR="0071660E" w:rsidRPr="00BC5C56" w:rsidP="0071660E" w14:paraId="6DC7C9E6" w14:textId="77777777">
      <w:pPr>
        <w:pStyle w:val="ssPara1"/>
        <w:rPr>
          <w:color w:val="auto"/>
          <w:sz w:val="20"/>
          <w:szCs w:val="20"/>
          <w:shd w:val="clear" w:color="auto" w:fill="auto"/>
        </w:rPr>
      </w:pPr>
      <w:r w:rsidRPr="00BC5C56">
        <w:rPr>
          <w:sz w:val="20"/>
          <w:szCs w:val="20"/>
        </w:rPr>
        <w:t xml:space="preserve">Any requests for redemptions received after the Dealing Deadline for a Dealing Day will be processed on the next Dealing Day, unless the Manager acting on behalf of the ICAV in its absolute discretion, in exceptional circumstances, otherwise determines to accept one or more applications received after the Dealing Deadline for processing on that Dealing Day, provided that such application(s) have been received prior to the Valuation Point for the particular Dealing Day and such exceptional circumstances have been fully documented by the Manager acting on behalf of the ICAV and in consultation with the Directors. </w:t>
      </w:r>
    </w:p>
    <w:p w:rsidR="0071660E" w:rsidRPr="00BC5C56" w:rsidP="0071660E" w14:paraId="24997B56" w14:textId="77777777">
      <w:pPr>
        <w:pStyle w:val="ssPara1"/>
        <w:rPr>
          <w:color w:val="auto"/>
          <w:sz w:val="20"/>
          <w:szCs w:val="20"/>
          <w:shd w:val="clear" w:color="auto" w:fill="auto"/>
        </w:rPr>
      </w:pPr>
      <w:r w:rsidRPr="00BC5C56">
        <w:rPr>
          <w:sz w:val="20"/>
          <w:szCs w:val="20"/>
        </w:rPr>
        <w:t>Redemption requests will only be accepted for processing where cleared funds and completed documents including documentation relating to money laundering prevention checks are in place from original subscriptions. No redemption payment will be made from a Shareholder’s holding until the original Application Form and all documentation required by or on behalf of the ICAV (including any documents in connection with anti-money laundering procedures) has been received from the Shareholder and the anti-money laundering procedures have been completed. Redemption requests can be processed on receipt of electronic instructions only where payment is made to the account of record.</w:t>
      </w:r>
    </w:p>
    <w:p w:rsidR="0071660E" w:rsidP="0071660E" w14:paraId="2F1D529B" w14:textId="77777777">
      <w:pPr>
        <w:pStyle w:val="Heading1"/>
        <w:rPr>
          <w:color w:val="auto"/>
          <w:sz w:val="20"/>
          <w:szCs w:val="20"/>
          <w:shd w:val="clear" w:color="auto" w:fill="auto"/>
        </w:rPr>
      </w:pPr>
      <w:bookmarkStart w:id="39" w:name="_Toc36113836"/>
      <w:bookmarkStart w:id="40" w:name="_Toc49264371"/>
      <w:r>
        <w:rPr>
          <w:sz w:val="20"/>
          <w:szCs w:val="20"/>
        </w:rPr>
        <w:t>Dividends and Distributions</w:t>
      </w:r>
    </w:p>
    <w:p w:rsidR="0071660E" w:rsidRPr="00706AF6" w:rsidP="0071660E" w14:paraId="12F6DF46" w14:textId="77777777">
      <w:pPr>
        <w:pStyle w:val="ssPara1"/>
        <w:rPr>
          <w:color w:val="auto"/>
          <w:sz w:val="20"/>
          <w:szCs w:val="20"/>
          <w:shd w:val="clear" w:color="auto" w:fill="auto"/>
        </w:rPr>
      </w:pPr>
      <w:r w:rsidRPr="00706AF6">
        <w:rPr>
          <w:sz w:val="20"/>
          <w:szCs w:val="20"/>
        </w:rPr>
        <w:t xml:space="preserve">The income and earnings and gains of </w:t>
      </w:r>
      <w:r>
        <w:rPr>
          <w:sz w:val="20"/>
          <w:szCs w:val="20"/>
        </w:rPr>
        <w:t xml:space="preserve">Share </w:t>
      </w:r>
      <w:r w:rsidRPr="00706AF6">
        <w:rPr>
          <w:sz w:val="20"/>
          <w:szCs w:val="20"/>
        </w:rPr>
        <w:t xml:space="preserve">Classes which are accumulating </w:t>
      </w:r>
      <w:r>
        <w:rPr>
          <w:sz w:val="20"/>
          <w:szCs w:val="20"/>
        </w:rPr>
        <w:t>Share C</w:t>
      </w:r>
      <w:r w:rsidRPr="00706AF6">
        <w:rPr>
          <w:sz w:val="20"/>
          <w:szCs w:val="20"/>
        </w:rPr>
        <w:t xml:space="preserve">lasses per the table in section </w:t>
      </w:r>
      <w:r>
        <w:rPr>
          <w:sz w:val="20"/>
          <w:szCs w:val="20"/>
        </w:rPr>
        <w:t>10</w:t>
      </w:r>
      <w:r w:rsidRPr="00706AF6">
        <w:rPr>
          <w:sz w:val="20"/>
          <w:szCs w:val="20"/>
        </w:rPr>
        <w:t xml:space="preserve"> of this Supplement will be accumulated and reinvested on behalf of the Shareholders. It is not currently intended to distribute dividends to Shareholders in these </w:t>
      </w:r>
      <w:r>
        <w:rPr>
          <w:sz w:val="20"/>
          <w:szCs w:val="20"/>
        </w:rPr>
        <w:t xml:space="preserve">Shares </w:t>
      </w:r>
      <w:r w:rsidRPr="00706AF6">
        <w:rPr>
          <w:sz w:val="20"/>
          <w:szCs w:val="20"/>
        </w:rPr>
        <w:t>Classes.</w:t>
      </w:r>
    </w:p>
    <w:p w:rsidR="0071660E" w:rsidRPr="00706AF6" w:rsidP="0071660E" w14:paraId="23E0478A" w14:textId="77777777">
      <w:pPr>
        <w:pStyle w:val="ssPara1"/>
        <w:rPr>
          <w:color w:val="auto"/>
          <w:sz w:val="20"/>
          <w:szCs w:val="20"/>
          <w:shd w:val="clear" w:color="auto" w:fill="auto"/>
        </w:rPr>
      </w:pPr>
      <w:r w:rsidRPr="00706AF6">
        <w:rPr>
          <w:sz w:val="20"/>
          <w:szCs w:val="20"/>
        </w:rPr>
        <w:t xml:space="preserve">It is the Directors’ current intention to declare and distribute to Shareholders </w:t>
      </w:r>
      <w:r w:rsidRPr="00C82B90">
        <w:rPr>
          <w:sz w:val="20"/>
          <w:szCs w:val="20"/>
        </w:rPr>
        <w:t>out of the</w:t>
      </w:r>
      <w:r>
        <w:rPr>
          <w:sz w:val="20"/>
          <w:szCs w:val="20"/>
        </w:rPr>
        <w:t xml:space="preserve"> net income (i.e. income less expenses) of Share Classes </w:t>
      </w:r>
      <w:r w:rsidRPr="00706AF6">
        <w:rPr>
          <w:sz w:val="20"/>
          <w:szCs w:val="20"/>
        </w:rPr>
        <w:t xml:space="preserve">which are distributing </w:t>
      </w:r>
      <w:r>
        <w:rPr>
          <w:sz w:val="20"/>
          <w:szCs w:val="20"/>
        </w:rPr>
        <w:t>Share Classes</w:t>
      </w:r>
      <w:r w:rsidRPr="00706AF6">
        <w:rPr>
          <w:sz w:val="20"/>
          <w:szCs w:val="20"/>
        </w:rPr>
        <w:t xml:space="preserve"> per the table in section </w:t>
      </w:r>
      <w:r>
        <w:rPr>
          <w:sz w:val="20"/>
          <w:szCs w:val="20"/>
        </w:rPr>
        <w:t>10</w:t>
      </w:r>
      <w:r w:rsidRPr="00706AF6">
        <w:rPr>
          <w:sz w:val="20"/>
          <w:szCs w:val="20"/>
        </w:rPr>
        <w:t xml:space="preserve"> of this Supplement. </w:t>
      </w:r>
      <w:r w:rsidRPr="00C31D66">
        <w:rPr>
          <w:sz w:val="20"/>
          <w:szCs w:val="20"/>
        </w:rPr>
        <w:t xml:space="preserve">The Directors may also declare dividends out of capital of the Fund </w:t>
      </w:r>
      <w:r w:rsidRPr="00C31D66">
        <w:rPr>
          <w:sz w:val="20"/>
          <w:szCs w:val="20"/>
        </w:rPr>
        <w:t>in order to</w:t>
      </w:r>
      <w:r w:rsidRPr="00C31D66">
        <w:rPr>
          <w:sz w:val="20"/>
          <w:szCs w:val="20"/>
        </w:rPr>
        <w:t xml:space="preserve"> maintain a satisfactory level of distribution. </w:t>
      </w:r>
    </w:p>
    <w:p w:rsidR="0071660E" w:rsidRPr="00706AF6" w:rsidP="0071660E" w14:paraId="6E253B11" w14:textId="77777777">
      <w:pPr>
        <w:pStyle w:val="ssPara1"/>
        <w:rPr>
          <w:color w:val="auto"/>
          <w:sz w:val="20"/>
          <w:szCs w:val="20"/>
          <w:shd w:val="clear" w:color="auto" w:fill="auto"/>
        </w:rPr>
      </w:pPr>
      <w:r w:rsidRPr="00706AF6">
        <w:rPr>
          <w:sz w:val="20"/>
          <w:szCs w:val="20"/>
        </w:rPr>
        <w:t xml:space="preserve">The </w:t>
      </w:r>
      <w:r>
        <w:rPr>
          <w:sz w:val="20"/>
          <w:szCs w:val="20"/>
        </w:rPr>
        <w:t>a</w:t>
      </w:r>
      <w:r w:rsidRPr="00706AF6">
        <w:rPr>
          <w:sz w:val="20"/>
          <w:szCs w:val="20"/>
        </w:rPr>
        <w:t xml:space="preserve">ccounting </w:t>
      </w:r>
      <w:r>
        <w:rPr>
          <w:sz w:val="20"/>
          <w:szCs w:val="20"/>
        </w:rPr>
        <w:t>d</w:t>
      </w:r>
      <w:r w:rsidRPr="00706AF6">
        <w:rPr>
          <w:sz w:val="20"/>
          <w:szCs w:val="20"/>
        </w:rPr>
        <w:t xml:space="preserve">ate of the </w:t>
      </w:r>
      <w:r>
        <w:rPr>
          <w:sz w:val="20"/>
          <w:szCs w:val="20"/>
        </w:rPr>
        <w:t xml:space="preserve">ICAV </w:t>
      </w:r>
      <w:r w:rsidRPr="00706AF6">
        <w:rPr>
          <w:sz w:val="20"/>
          <w:szCs w:val="20"/>
        </w:rPr>
        <w:t xml:space="preserve"> is currently the </w:t>
      </w:r>
      <w:r>
        <w:rPr>
          <w:sz w:val="20"/>
          <w:szCs w:val="20"/>
        </w:rPr>
        <w:t>31 December</w:t>
      </w:r>
      <w:r w:rsidRPr="00706AF6">
        <w:rPr>
          <w:sz w:val="20"/>
          <w:szCs w:val="20"/>
        </w:rPr>
        <w:t xml:space="preserve"> each year, and any dividend payable on the Shares Classes which are distributing </w:t>
      </w:r>
      <w:r>
        <w:rPr>
          <w:sz w:val="20"/>
          <w:szCs w:val="20"/>
        </w:rPr>
        <w:t>Share C</w:t>
      </w:r>
      <w:r w:rsidRPr="00706AF6">
        <w:rPr>
          <w:sz w:val="20"/>
          <w:szCs w:val="20"/>
        </w:rPr>
        <w:t xml:space="preserve">lasses per the table in section 10 of this Supplement will </w:t>
      </w:r>
      <w:bookmarkStart w:id="41" w:name="_Hlk75268777"/>
      <w:r w:rsidRPr="00706AF6">
        <w:rPr>
          <w:sz w:val="20"/>
          <w:szCs w:val="20"/>
        </w:rPr>
        <w:t xml:space="preserve">normally be declared and paid within four months </w:t>
      </w:r>
      <w:r>
        <w:rPr>
          <w:sz w:val="20"/>
          <w:szCs w:val="20"/>
        </w:rPr>
        <w:t xml:space="preserve">of that date </w:t>
      </w:r>
      <w:bookmarkEnd w:id="41"/>
      <w:r w:rsidRPr="00706AF6">
        <w:rPr>
          <w:sz w:val="20"/>
          <w:szCs w:val="20"/>
        </w:rPr>
        <w:t xml:space="preserve">or at such other times as determined by the Directors in accordance with the provisions of the Prospectus and the </w:t>
      </w:r>
      <w:r>
        <w:rPr>
          <w:sz w:val="20"/>
          <w:szCs w:val="20"/>
        </w:rPr>
        <w:t>Instrument of Incorporation</w:t>
      </w:r>
      <w:r w:rsidRPr="00706AF6">
        <w:rPr>
          <w:sz w:val="20"/>
          <w:szCs w:val="20"/>
        </w:rPr>
        <w:t>.</w:t>
      </w:r>
    </w:p>
    <w:p w:rsidR="0071660E" w:rsidRPr="00706AF6" w:rsidP="0071660E" w14:paraId="2557F563" w14:textId="77777777">
      <w:pPr>
        <w:pStyle w:val="ssPara1"/>
        <w:rPr>
          <w:color w:val="auto"/>
          <w:sz w:val="20"/>
          <w:szCs w:val="20"/>
          <w:shd w:val="clear" w:color="auto" w:fill="auto"/>
        </w:rPr>
      </w:pPr>
      <w:r w:rsidRPr="00706AF6">
        <w:rPr>
          <w:sz w:val="20"/>
          <w:szCs w:val="20"/>
        </w:rPr>
        <w:t>Any change to this dividend policy shall be set out in an updated Supplement and notified to Shareholders in advance.</w:t>
      </w:r>
    </w:p>
    <w:p w:rsidR="0071660E" w:rsidRPr="0060258C" w:rsidP="0071660E" w14:paraId="3A6D9455" w14:textId="77777777">
      <w:pPr>
        <w:pStyle w:val="ssPara1"/>
        <w:rPr>
          <w:color w:val="auto"/>
          <w:sz w:val="20"/>
          <w:szCs w:val="20"/>
          <w:shd w:val="clear" w:color="auto" w:fill="auto"/>
        </w:rPr>
      </w:pPr>
      <w:r w:rsidRPr="00706AF6">
        <w:rPr>
          <w:sz w:val="20"/>
          <w:szCs w:val="20"/>
        </w:rPr>
        <w:t>This section should be read in conjunction with the section headed “Di</w:t>
      </w:r>
      <w:r>
        <w:rPr>
          <w:sz w:val="20"/>
          <w:szCs w:val="20"/>
        </w:rPr>
        <w:t xml:space="preserve">stribution </w:t>
      </w:r>
      <w:r w:rsidRPr="00706AF6">
        <w:rPr>
          <w:sz w:val="20"/>
          <w:szCs w:val="20"/>
        </w:rPr>
        <w:t>Policy” in the Prospectus.</w:t>
      </w:r>
    </w:p>
    <w:p w:rsidR="0071660E" w:rsidRPr="00BC5C56" w:rsidP="0071660E" w14:paraId="18E051A8" w14:textId="77777777">
      <w:pPr>
        <w:pStyle w:val="Heading1"/>
        <w:rPr>
          <w:color w:val="auto"/>
          <w:sz w:val="20"/>
          <w:szCs w:val="20"/>
          <w:shd w:val="clear" w:color="auto" w:fill="auto"/>
        </w:rPr>
      </w:pPr>
      <w:r w:rsidRPr="00BC5C56">
        <w:rPr>
          <w:sz w:val="20"/>
          <w:szCs w:val="20"/>
        </w:rPr>
        <w:t>Fees and Expense</w:t>
      </w:r>
      <w:bookmarkEnd w:id="24"/>
      <w:r w:rsidRPr="00BC5C56">
        <w:rPr>
          <w:sz w:val="20"/>
          <w:szCs w:val="20"/>
        </w:rPr>
        <w:t>s</w:t>
      </w:r>
      <w:bookmarkEnd w:id="39"/>
      <w:bookmarkEnd w:id="40"/>
    </w:p>
    <w:p w:rsidR="0071660E" w:rsidRPr="00BC5C56" w:rsidP="0071660E" w14:paraId="70A94629" w14:textId="77777777">
      <w:pPr>
        <w:pStyle w:val="ssPara1"/>
        <w:rPr>
          <w:rFonts w:eastAsia="Times New Roman"/>
          <w:color w:val="auto"/>
          <w:sz w:val="20"/>
          <w:szCs w:val="20"/>
          <w:shd w:val="clear" w:color="auto" w:fill="auto"/>
        </w:rPr>
      </w:pPr>
      <w:r w:rsidRPr="00BC5C56">
        <w:rPr>
          <w:rFonts w:eastAsia="Times New Roman"/>
          <w:sz w:val="20"/>
          <w:szCs w:val="20"/>
        </w:rPr>
        <w:t xml:space="preserve">The following fees and expenses will be incurred by the ICAV on behalf of the Fund. </w:t>
      </w:r>
      <w:r w:rsidRPr="00BC5C56">
        <w:rPr>
          <w:sz w:val="20"/>
          <w:szCs w:val="20"/>
        </w:rPr>
        <w:t>Additional fees and operating expenses of the ICAV (including the establishment costs of the ICAV and this Fund) are set out in detail in the section of the Prospectus entitled “Fees and Expenses”.</w:t>
      </w:r>
    </w:p>
    <w:p w:rsidR="0071660E" w:rsidRPr="00BC5C56" w:rsidP="0071660E" w14:paraId="28F59293" w14:textId="4FA959A5">
      <w:pPr>
        <w:pStyle w:val="Heading2"/>
        <w:rPr>
          <w:rFonts w:eastAsia="Times New Roman"/>
          <w:color w:val="auto"/>
          <w:sz w:val="20"/>
          <w:szCs w:val="20"/>
          <w:shd w:val="clear" w:color="auto" w:fill="auto"/>
        </w:rPr>
      </w:pPr>
      <w:r>
        <w:rPr>
          <w:rFonts w:eastAsia="Times New Roman"/>
          <w:sz w:val="20"/>
          <w:szCs w:val="20"/>
        </w:rPr>
        <w:t>Management Fee</w:t>
      </w:r>
    </w:p>
    <w:p w:rsidR="00F86F07" w:rsidP="0071660E" w14:paraId="3514F1AF" w14:textId="727B28AA">
      <w:pPr>
        <w:pStyle w:val="ssPara1"/>
        <w:rPr>
          <w:color w:val="auto"/>
          <w:sz w:val="20"/>
          <w:szCs w:val="20"/>
          <w:shd w:val="clear" w:color="auto" w:fill="auto"/>
        </w:rPr>
      </w:pPr>
      <w:r>
        <w:rPr>
          <w:sz w:val="20"/>
          <w:szCs w:val="20"/>
        </w:rPr>
        <w:t xml:space="preserve">The </w:t>
      </w:r>
      <w:r w:rsidR="00CE19F9">
        <w:rPr>
          <w:sz w:val="20"/>
          <w:szCs w:val="20"/>
        </w:rPr>
        <w:t>m</w:t>
      </w:r>
      <w:r w:rsidR="00883C08">
        <w:rPr>
          <w:sz w:val="20"/>
          <w:szCs w:val="20"/>
        </w:rPr>
        <w:t xml:space="preserve">anagement </w:t>
      </w:r>
      <w:r w:rsidR="00CE19F9">
        <w:rPr>
          <w:sz w:val="20"/>
          <w:szCs w:val="20"/>
        </w:rPr>
        <w:t>f</w:t>
      </w:r>
      <w:r w:rsidR="00883C08">
        <w:rPr>
          <w:sz w:val="20"/>
          <w:szCs w:val="20"/>
        </w:rPr>
        <w:t xml:space="preserve">ee </w:t>
      </w:r>
      <w:r w:rsidRPr="00785A69">
        <w:rPr>
          <w:sz w:val="20"/>
          <w:szCs w:val="20"/>
        </w:rPr>
        <w:t xml:space="preserve">applicable to each Share </w:t>
      </w:r>
      <w:r>
        <w:rPr>
          <w:sz w:val="20"/>
          <w:szCs w:val="20"/>
        </w:rPr>
        <w:t xml:space="preserve">Class </w:t>
      </w:r>
      <w:r w:rsidRPr="00785A69">
        <w:rPr>
          <w:sz w:val="20"/>
          <w:szCs w:val="20"/>
        </w:rPr>
        <w:t xml:space="preserve">is as set out above in section </w:t>
      </w:r>
      <w:r>
        <w:rPr>
          <w:sz w:val="20"/>
          <w:szCs w:val="20"/>
        </w:rPr>
        <w:t xml:space="preserve">10 </w:t>
      </w:r>
      <w:r w:rsidRPr="00785A69">
        <w:rPr>
          <w:sz w:val="20"/>
          <w:szCs w:val="20"/>
        </w:rPr>
        <w:t>of this Supplement</w:t>
      </w:r>
      <w:r w:rsidR="00CE19F9">
        <w:rPr>
          <w:sz w:val="20"/>
          <w:szCs w:val="20"/>
        </w:rPr>
        <w:t xml:space="preserve"> (the “</w:t>
      </w:r>
      <w:r w:rsidRPr="00CE19F9" w:rsidR="00CE19F9">
        <w:rPr>
          <w:b/>
          <w:bCs/>
          <w:sz w:val="20"/>
          <w:szCs w:val="20"/>
        </w:rPr>
        <w:t>Management Fee</w:t>
      </w:r>
      <w:r w:rsidR="00CE19F9">
        <w:rPr>
          <w:sz w:val="20"/>
          <w:szCs w:val="20"/>
        </w:rPr>
        <w:t>”)</w:t>
      </w:r>
      <w:r w:rsidRPr="00BC5C56">
        <w:rPr>
          <w:sz w:val="20"/>
          <w:szCs w:val="20"/>
        </w:rPr>
        <w:t xml:space="preserve">. </w:t>
      </w:r>
      <w:r w:rsidRPr="00376AFE" w:rsidR="00376AFE">
        <w:rPr>
          <w:sz w:val="20"/>
          <w:szCs w:val="20"/>
          <w:lang w:val="en-IE"/>
        </w:rPr>
        <w:t xml:space="preserve">The </w:t>
      </w:r>
      <w:r w:rsidRPr="00376AFE" w:rsidR="00605512">
        <w:rPr>
          <w:sz w:val="20"/>
          <w:szCs w:val="20"/>
          <w:lang w:val="en-IE"/>
        </w:rPr>
        <w:t>Man</w:t>
      </w:r>
      <w:r w:rsidR="00605512">
        <w:rPr>
          <w:sz w:val="20"/>
          <w:szCs w:val="20"/>
          <w:lang w:val="en-IE"/>
        </w:rPr>
        <w:t xml:space="preserve">agement Fee </w:t>
      </w:r>
      <w:r w:rsidRPr="00376AFE" w:rsidR="00376AFE">
        <w:rPr>
          <w:sz w:val="20"/>
          <w:szCs w:val="20"/>
          <w:lang w:val="en-IE"/>
        </w:rPr>
        <w:t xml:space="preserve">may differ </w:t>
      </w:r>
      <w:r w:rsidR="00605512">
        <w:rPr>
          <w:sz w:val="20"/>
          <w:szCs w:val="20"/>
          <w:lang w:val="en-IE"/>
        </w:rPr>
        <w:t xml:space="preserve">in respect of </w:t>
      </w:r>
      <w:r w:rsidRPr="00376AFE" w:rsidR="00376AFE">
        <w:rPr>
          <w:sz w:val="20"/>
          <w:szCs w:val="20"/>
          <w:lang w:val="en-IE"/>
        </w:rPr>
        <w:t xml:space="preserve">individual </w:t>
      </w:r>
      <w:r w:rsidR="00376AFE">
        <w:rPr>
          <w:sz w:val="20"/>
          <w:szCs w:val="20"/>
          <w:lang w:val="en-IE"/>
        </w:rPr>
        <w:t xml:space="preserve">Share </w:t>
      </w:r>
      <w:r w:rsidRPr="00376AFE" w:rsidR="00376AFE">
        <w:rPr>
          <w:sz w:val="20"/>
          <w:szCs w:val="20"/>
          <w:lang w:val="en-IE"/>
        </w:rPr>
        <w:t xml:space="preserve">Classes which may be higher or lower than the fees applicable to other </w:t>
      </w:r>
      <w:r w:rsidR="00376AFE">
        <w:rPr>
          <w:sz w:val="20"/>
          <w:szCs w:val="20"/>
          <w:lang w:val="en-IE"/>
        </w:rPr>
        <w:t xml:space="preserve">Share </w:t>
      </w:r>
      <w:r w:rsidRPr="00376AFE" w:rsidR="00376AFE">
        <w:rPr>
          <w:sz w:val="20"/>
          <w:szCs w:val="20"/>
          <w:lang w:val="en-IE"/>
        </w:rPr>
        <w:t xml:space="preserve">Classes. </w:t>
      </w:r>
    </w:p>
    <w:p w:rsidR="00CE19F9" w:rsidP="0071660E" w14:paraId="50C0E782" w14:textId="3B31F512">
      <w:pPr>
        <w:pStyle w:val="ssPara1"/>
        <w:rPr>
          <w:color w:val="auto"/>
          <w:sz w:val="20"/>
          <w:szCs w:val="20"/>
          <w:shd w:val="clear" w:color="auto" w:fill="auto"/>
        </w:rPr>
      </w:pPr>
      <w:r w:rsidRPr="00F86F07">
        <w:rPr>
          <w:sz w:val="20"/>
          <w:szCs w:val="20"/>
        </w:rPr>
        <w:t>The Management Fee is a single charge that is deducted from the Fund</w:t>
      </w:r>
      <w:r w:rsidRPr="00F638C0" w:rsidR="00F638C0">
        <w:rPr>
          <w:rFonts w:eastAsia="Times New Roman" w:cstheme="minorHAnsi"/>
          <w:sz w:val="20"/>
          <w:szCs w:val="20"/>
          <w:lang w:val="en-IE"/>
        </w:rPr>
        <w:t xml:space="preserve"> </w:t>
      </w:r>
      <w:r w:rsidRPr="00F638C0" w:rsidR="00F638C0">
        <w:rPr>
          <w:sz w:val="20"/>
          <w:szCs w:val="20"/>
          <w:lang w:val="en-IE"/>
        </w:rPr>
        <w:t xml:space="preserve">and caps all fees payable out of the </w:t>
      </w:r>
      <w:r w:rsidR="00F638C0">
        <w:rPr>
          <w:sz w:val="20"/>
          <w:szCs w:val="20"/>
          <w:lang w:val="en-IE"/>
        </w:rPr>
        <w:t>assets of the</w:t>
      </w:r>
      <w:r w:rsidRPr="00F638C0" w:rsidR="00F638C0">
        <w:rPr>
          <w:sz w:val="20"/>
          <w:szCs w:val="20"/>
          <w:lang w:val="en-IE"/>
        </w:rPr>
        <w:t xml:space="preserve"> Fund</w:t>
      </w:r>
      <w:r w:rsidRPr="00F86F07">
        <w:rPr>
          <w:sz w:val="20"/>
          <w:szCs w:val="20"/>
        </w:rPr>
        <w:t xml:space="preserve">. </w:t>
      </w:r>
      <w:r w:rsidR="0071660E">
        <w:rPr>
          <w:sz w:val="20"/>
          <w:szCs w:val="20"/>
        </w:rPr>
        <w:t xml:space="preserve">The Management Fee </w:t>
      </w:r>
      <w:r w:rsidR="00883C08">
        <w:rPr>
          <w:sz w:val="20"/>
          <w:szCs w:val="20"/>
        </w:rPr>
        <w:t>includes</w:t>
      </w:r>
      <w:r w:rsidR="003A690E">
        <w:rPr>
          <w:sz w:val="20"/>
          <w:szCs w:val="20"/>
        </w:rPr>
        <w:t xml:space="preserve"> all ongoing fees in relation to the Fund including</w:t>
      </w:r>
      <w:r w:rsidR="0071660E">
        <w:rPr>
          <w:sz w:val="20"/>
          <w:szCs w:val="20"/>
        </w:rPr>
        <w:t xml:space="preserve"> </w:t>
      </w:r>
      <w:r w:rsidRPr="00F638C0" w:rsidR="0071660E">
        <w:rPr>
          <w:sz w:val="20"/>
          <w:szCs w:val="20"/>
        </w:rPr>
        <w:t xml:space="preserve">the </w:t>
      </w:r>
      <w:r w:rsidRPr="00F638C0" w:rsidR="00F638C0">
        <w:rPr>
          <w:sz w:val="20"/>
          <w:szCs w:val="20"/>
        </w:rPr>
        <w:t>M</w:t>
      </w:r>
      <w:r w:rsidRPr="00F638C0" w:rsidR="00605512">
        <w:rPr>
          <w:sz w:val="20"/>
          <w:szCs w:val="20"/>
        </w:rPr>
        <w:t xml:space="preserve">anager’s fee, </w:t>
      </w:r>
      <w:r w:rsidRPr="00F638C0" w:rsidR="00F638C0">
        <w:rPr>
          <w:sz w:val="20"/>
          <w:szCs w:val="20"/>
        </w:rPr>
        <w:t>I</w:t>
      </w:r>
      <w:r w:rsidRPr="00F638C0">
        <w:rPr>
          <w:sz w:val="20"/>
          <w:szCs w:val="20"/>
        </w:rPr>
        <w:t xml:space="preserve">nvestment </w:t>
      </w:r>
      <w:r w:rsidRPr="00F638C0" w:rsidR="00F638C0">
        <w:rPr>
          <w:sz w:val="20"/>
          <w:szCs w:val="20"/>
        </w:rPr>
        <w:t>Manager’s fee</w:t>
      </w:r>
      <w:r w:rsidRPr="00F638C0">
        <w:rPr>
          <w:sz w:val="20"/>
          <w:szCs w:val="20"/>
        </w:rPr>
        <w:t xml:space="preserve">, the Distributor’s fee, the Depositary’s </w:t>
      </w:r>
      <w:r w:rsidRPr="00F638C0">
        <w:rPr>
          <w:sz w:val="20"/>
          <w:szCs w:val="20"/>
        </w:rPr>
        <w:t>fee</w:t>
      </w:r>
      <w:r w:rsidRPr="00F638C0">
        <w:rPr>
          <w:sz w:val="20"/>
          <w:szCs w:val="20"/>
        </w:rPr>
        <w:t xml:space="preserve"> and the Administrator’s fee.</w:t>
      </w:r>
      <w:r w:rsidRPr="00F638C0" w:rsidR="003A690E">
        <w:rPr>
          <w:sz w:val="20"/>
          <w:szCs w:val="20"/>
        </w:rPr>
        <w:t xml:space="preserve"> </w:t>
      </w:r>
      <w:r w:rsidR="00FD7731">
        <w:rPr>
          <w:sz w:val="20"/>
          <w:szCs w:val="20"/>
        </w:rPr>
        <w:t>It also includes all charges and expenses relating to the ongoing management of the Fund, further details of which are</w:t>
      </w:r>
      <w:r w:rsidRPr="00F638C0" w:rsidR="00F638C0">
        <w:rPr>
          <w:sz w:val="20"/>
          <w:szCs w:val="20"/>
        </w:rPr>
        <w:t xml:space="preserve"> set out at </w:t>
      </w:r>
      <w:r w:rsidRPr="00F638C0" w:rsidR="003A690E">
        <w:rPr>
          <w:sz w:val="20"/>
          <w:szCs w:val="20"/>
        </w:rPr>
        <w:t>section 8</w:t>
      </w:r>
      <w:r w:rsidR="00FD7731">
        <w:rPr>
          <w:sz w:val="20"/>
          <w:szCs w:val="20"/>
        </w:rPr>
        <w:t>.1</w:t>
      </w:r>
      <w:r w:rsidRPr="00F638C0" w:rsidR="003A690E">
        <w:rPr>
          <w:sz w:val="20"/>
          <w:szCs w:val="20"/>
        </w:rPr>
        <w:t xml:space="preserve"> of the Prospectus.</w:t>
      </w:r>
      <w:r w:rsidRPr="00F638C0" w:rsidR="00F638C0">
        <w:rPr>
          <w:rFonts w:ascii="Lato" w:eastAsia="Times New Roman" w:hAnsi="Lato"/>
          <w:szCs w:val="20"/>
          <w:lang w:eastAsia="en-US"/>
        </w:rPr>
        <w:t xml:space="preserve"> </w:t>
      </w:r>
    </w:p>
    <w:p w:rsidR="00733834" w:rsidP="00733834" w14:paraId="3E315678" w14:textId="16C38979">
      <w:pPr>
        <w:pStyle w:val="Heading2"/>
        <w:rPr>
          <w:color w:val="auto"/>
          <w:sz w:val="20"/>
          <w:szCs w:val="20"/>
          <w:shd w:val="clear" w:color="auto" w:fill="auto"/>
        </w:rPr>
      </w:pPr>
      <w:r>
        <w:rPr>
          <w:sz w:val="20"/>
          <w:szCs w:val="20"/>
        </w:rPr>
        <w:t>Investment Manager’s Fees</w:t>
      </w:r>
    </w:p>
    <w:p w:rsidR="00733834" w:rsidRPr="00733834" w:rsidP="0071660E" w14:paraId="6A67A7AC" w14:textId="78665185">
      <w:pPr>
        <w:pStyle w:val="ssPara1"/>
        <w:rPr>
          <w:bCs/>
          <w:color w:val="auto"/>
          <w:sz w:val="20"/>
          <w:szCs w:val="20"/>
          <w:shd w:val="clear" w:color="auto" w:fill="auto"/>
        </w:rPr>
      </w:pPr>
      <w:bookmarkStart w:id="42" w:name="_Hlk84608877"/>
      <w:r w:rsidRPr="00733834">
        <w:rPr>
          <w:bCs/>
          <w:sz w:val="20"/>
          <w:szCs w:val="20"/>
        </w:rPr>
        <w:t>The Investment Manager is entitled to receive up to 9</w:t>
      </w:r>
      <w:r w:rsidR="005A198C">
        <w:rPr>
          <w:bCs/>
          <w:sz w:val="20"/>
          <w:szCs w:val="20"/>
        </w:rPr>
        <w:t>5</w:t>
      </w:r>
      <w:r w:rsidRPr="00733834">
        <w:rPr>
          <w:bCs/>
          <w:sz w:val="20"/>
          <w:szCs w:val="20"/>
        </w:rPr>
        <w:t xml:space="preserve"> basis points of the </w:t>
      </w:r>
      <w:r w:rsidRPr="00E47D9C" w:rsidR="00E47D9C">
        <w:rPr>
          <w:bCs/>
          <w:sz w:val="20"/>
          <w:szCs w:val="20"/>
          <w:lang w:val="en-IE"/>
        </w:rPr>
        <w:t>Net Asset Value</w:t>
      </w:r>
      <w:r w:rsidRPr="00733834">
        <w:rPr>
          <w:bCs/>
          <w:sz w:val="20"/>
          <w:szCs w:val="20"/>
        </w:rPr>
        <w:t xml:space="preserve"> </w:t>
      </w:r>
      <w:bookmarkEnd w:id="42"/>
      <w:r w:rsidR="00E47D9C">
        <w:rPr>
          <w:bCs/>
          <w:sz w:val="20"/>
          <w:szCs w:val="20"/>
        </w:rPr>
        <w:t xml:space="preserve">of the Fund </w:t>
      </w:r>
      <w:r w:rsidR="00FD7731">
        <w:rPr>
          <w:bCs/>
          <w:sz w:val="20"/>
          <w:szCs w:val="20"/>
        </w:rPr>
        <w:t xml:space="preserve">payable out of the Management Fee </w:t>
      </w:r>
      <w:r w:rsidRPr="00733834">
        <w:rPr>
          <w:bCs/>
          <w:sz w:val="20"/>
          <w:szCs w:val="20"/>
        </w:rPr>
        <w:t xml:space="preserve">once </w:t>
      </w:r>
      <w:r w:rsidRPr="00E35FFE" w:rsidR="00E35FFE">
        <w:rPr>
          <w:bCs/>
          <w:sz w:val="20"/>
          <w:szCs w:val="20"/>
        </w:rPr>
        <w:t xml:space="preserve">all ongoing charges and fees in relation to the Fund </w:t>
      </w:r>
      <w:r w:rsidRPr="00733834">
        <w:rPr>
          <w:bCs/>
          <w:sz w:val="20"/>
          <w:szCs w:val="20"/>
        </w:rPr>
        <w:t>have been paid from the Management Fee</w:t>
      </w:r>
      <w:r w:rsidR="00FD7731">
        <w:rPr>
          <w:bCs/>
          <w:sz w:val="20"/>
          <w:szCs w:val="20"/>
        </w:rPr>
        <w:t>. Should any excess balance remain after the payment of all fees and charges out of the Management Fee, including the capped 9</w:t>
      </w:r>
      <w:r w:rsidR="00F62F1D">
        <w:rPr>
          <w:bCs/>
          <w:sz w:val="20"/>
          <w:szCs w:val="20"/>
        </w:rPr>
        <w:t>5</w:t>
      </w:r>
      <w:r w:rsidR="00FD7731">
        <w:rPr>
          <w:bCs/>
          <w:sz w:val="20"/>
          <w:szCs w:val="20"/>
        </w:rPr>
        <w:t xml:space="preserve"> basis point fee due to the Investment Manager, any such excess </w:t>
      </w:r>
      <w:r w:rsidR="00E10740">
        <w:rPr>
          <w:bCs/>
          <w:sz w:val="20"/>
          <w:szCs w:val="20"/>
        </w:rPr>
        <w:t xml:space="preserve">will </w:t>
      </w:r>
      <w:r w:rsidR="00D93BF0">
        <w:rPr>
          <w:bCs/>
          <w:sz w:val="20"/>
          <w:szCs w:val="20"/>
        </w:rPr>
        <w:t>form part of the assets of the Fund</w:t>
      </w:r>
      <w:r w:rsidRPr="00733834">
        <w:rPr>
          <w:bCs/>
          <w:sz w:val="20"/>
          <w:szCs w:val="20"/>
        </w:rPr>
        <w:t xml:space="preserve">. </w:t>
      </w:r>
    </w:p>
    <w:p w:rsidR="0071660E" w:rsidRPr="00BC5C56" w:rsidP="0071660E" w14:paraId="042E1D44" w14:textId="77777777">
      <w:pPr>
        <w:pStyle w:val="Heading1"/>
        <w:rPr>
          <w:rFonts w:eastAsia="Times New Roman"/>
          <w:color w:val="auto"/>
          <w:sz w:val="20"/>
          <w:szCs w:val="20"/>
          <w:shd w:val="clear" w:color="auto" w:fill="auto"/>
        </w:rPr>
      </w:pPr>
      <w:bookmarkStart w:id="43" w:name="_Toc36113837"/>
      <w:bookmarkStart w:id="44" w:name="_Toc49264372"/>
      <w:bookmarkEnd w:id="25"/>
      <w:bookmarkEnd w:id="26"/>
      <w:bookmarkEnd w:id="27"/>
      <w:bookmarkEnd w:id="28"/>
      <w:bookmarkEnd w:id="29"/>
      <w:bookmarkEnd w:id="30"/>
      <w:r w:rsidRPr="00BC5C56">
        <w:rPr>
          <w:rFonts w:eastAsia="Times New Roman"/>
          <w:sz w:val="20"/>
          <w:szCs w:val="20"/>
        </w:rPr>
        <w:t>Funds of the ICAV</w:t>
      </w:r>
      <w:bookmarkEnd w:id="43"/>
      <w:bookmarkEnd w:id="44"/>
    </w:p>
    <w:p w:rsidR="0071660E" w:rsidP="0071660E" w14:paraId="7825763E" w14:textId="77777777">
      <w:pPr>
        <w:pStyle w:val="ssPara2"/>
        <w:ind w:left="0"/>
        <w:rPr>
          <w:color w:val="auto"/>
          <w:sz w:val="20"/>
          <w:szCs w:val="20"/>
          <w:shd w:val="clear" w:color="auto" w:fill="auto"/>
        </w:rPr>
      </w:pPr>
      <w:r w:rsidRPr="00BC5C56">
        <w:rPr>
          <w:sz w:val="20"/>
          <w:szCs w:val="20"/>
        </w:rPr>
        <w:t xml:space="preserve">There </w:t>
      </w:r>
      <w:r>
        <w:rPr>
          <w:sz w:val="20"/>
          <w:szCs w:val="20"/>
        </w:rPr>
        <w:t>is</w:t>
      </w:r>
      <w:r w:rsidRPr="00BC5C56">
        <w:rPr>
          <w:sz w:val="20"/>
          <w:szCs w:val="20"/>
        </w:rPr>
        <w:t xml:space="preserve"> currently </w:t>
      </w:r>
      <w:r>
        <w:rPr>
          <w:sz w:val="20"/>
          <w:szCs w:val="20"/>
        </w:rPr>
        <w:t xml:space="preserve">one </w:t>
      </w:r>
      <w:r w:rsidRPr="00BC5C56">
        <w:rPr>
          <w:sz w:val="20"/>
          <w:szCs w:val="20"/>
        </w:rPr>
        <w:t>other Fund of the ICAV in existence</w:t>
      </w:r>
      <w:r>
        <w:rPr>
          <w:sz w:val="20"/>
          <w:szCs w:val="20"/>
        </w:rPr>
        <w:t xml:space="preserve"> namely, WHEB Sustainable Impact Fund.</w:t>
      </w:r>
    </w:p>
    <w:p w:rsidR="001B3F58" w:rsidRPr="000C4316" w:rsidP="000C4316" w14:paraId="06C8DACA" w14:textId="1C178DE6">
      <w:pPr>
        <w:pStyle w:val="ssPara2"/>
        <w:ind w:left="0"/>
        <w:rPr>
          <w:color w:val="auto"/>
          <w:sz w:val="20"/>
          <w:szCs w:val="20"/>
          <w:shd w:val="clear" w:color="auto" w:fill="auto"/>
        </w:rPr>
      </w:pPr>
      <w:r w:rsidRPr="00BC5C56">
        <w:rPr>
          <w:sz w:val="20"/>
          <w:szCs w:val="20"/>
        </w:rPr>
        <w:t>Additional Funds of the ICAV may be added in the future with the prior approval of the Central Bank.</w:t>
      </w:r>
    </w:p>
    <w:sectPr w:rsidSect="00DB67A5">
      <w:footerReference w:type="default" r:id="rId4"/>
      <w:pgSz w:w="11907" w:h="16840" w:code="9"/>
      <w:pgMar w:top="1418" w:right="1191" w:bottom="567" w:left="119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al Text Light">
    <w:altName w:val="Calibri"/>
    <w:panose1 w:val="020B0504020101010102"/>
    <w:charset w:val="00"/>
    <w:family w:val="swiss"/>
    <w:notTrueType/>
    <w:pitch w:val="variable"/>
    <w:sig w:usb0="A00000FF" w:usb1="4000E4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287" w:usb1="08070000" w:usb2="00000010" w:usb3="00000000" w:csb0="0002009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057" w14:paraId="06643F56" w14:textId="044EF028">
    <w:pPr>
      <w:pStyle w:val="Footer"/>
    </w:pPr>
  </w:p>
  <w:p w:rsidR="00012057" w14:paraId="4EDE6783" w14:textId="1301C148">
    <w:pPr>
      <w:pStyle w:val="Footer"/>
      <w:tabs>
        <w:tab w:val="right" w:pos="9543"/>
      </w:tabs>
      <w:rPr>
        <w:color w:val="auto"/>
        <w:shd w:val="clear" w:color="auto" w:fill="auto"/>
      </w:rPr>
    </w:pPr>
    <w:bookmarkStart w:id="45" w:name="bmkDocRef"/>
    <w:r>
      <w:t>FM/110863-00003/FBRE/HADO</w:t>
    </w:r>
    <w:bookmarkEnd w:id="45"/>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bookmarkStart w:id="46" w:name="bmkDocID"/>
    <w:r>
      <w:t>L_LIVE_EMEA1:50444631v22</w:t>
    </w:r>
    <w:bookmarkEnd w:id="46"/>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6C80CD7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E75662AC"/>
    <w:lvl w:ilvl="0">
      <w:start w:val="1"/>
      <w:numFmt w:val="bullet"/>
      <w:pStyle w:val="ParagraphN4"/>
      <w:lvlText w:val=""/>
      <w:lvlJc w:val="left"/>
      <w:pPr>
        <w:tabs>
          <w:tab w:val="num" w:pos="926"/>
        </w:tabs>
        <w:ind w:left="926" w:hanging="360"/>
      </w:pPr>
      <w:rPr>
        <w:rFonts w:ascii="Symbol" w:hAnsi="Symbol" w:hint="default"/>
      </w:rPr>
    </w:lvl>
  </w:abstractNum>
  <w:abstractNum w:abstractNumId="2">
    <w:nsid w:val="07270173"/>
    <w:multiLevelType w:val="multilevel"/>
    <w:tmpl w:val="BAF03238"/>
    <w:lvl w:ilvl="0">
      <w:start w:val="1"/>
      <w:numFmt w:val="none"/>
      <w:suff w:val="nothing"/>
      <w:lvlJc w:val="left"/>
      <w:pPr>
        <w:ind w:left="0" w:firstLine="0"/>
      </w:pPr>
      <w:rPr>
        <w:rFonts w:hint="default"/>
      </w:rPr>
    </w:lvl>
    <w:lvl w:ilvl="1">
      <w:start w:val="1"/>
      <w:numFmt w:val="decimal"/>
      <w:suff w:val="nothing"/>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AE4F59"/>
    <w:multiLevelType w:val="multilevel"/>
    <w:tmpl w:val="576C219E"/>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159B177C"/>
    <w:multiLevelType w:val="multilevel"/>
    <w:tmpl w:val="D0200CE0"/>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481980"/>
    <w:multiLevelType w:val="hybridMultilevel"/>
    <w:tmpl w:val="EB2220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A4495E"/>
    <w:multiLevelType w:val="multilevel"/>
    <w:tmpl w:val="9496A6FC"/>
    <w:styleLink w:val="PartNumbering"/>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2A47A3"/>
    <w:multiLevelType w:val="hybridMultilevel"/>
    <w:tmpl w:val="1B0854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244E0F"/>
    <w:multiLevelType w:val="multilevel"/>
    <w:tmpl w:val="D0200CE0"/>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27535B66"/>
    <w:multiLevelType w:val="hybridMultilevel"/>
    <w:tmpl w:val="D53E3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DE43BD"/>
    <w:multiLevelType w:val="hybridMultilevel"/>
    <w:tmpl w:val="37F03D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C087586"/>
    <w:multiLevelType w:val="multilevel"/>
    <w:tmpl w:val="0409001D"/>
    <w:name w:val="Simmons&amp;Simm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E9F35EA"/>
    <w:multiLevelType w:val="multilevel"/>
    <w:tmpl w:val="E0FA8E66"/>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307A06BE"/>
    <w:multiLevelType w:val="hybridMultilevel"/>
    <w:tmpl w:val="89749AE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232DDC"/>
    <w:multiLevelType w:val="multilevel"/>
    <w:tmpl w:val="0409001D"/>
    <w:name w:val="Simmons&amp;Simm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0B0FE2"/>
    <w:multiLevelType w:val="multilevel"/>
    <w:tmpl w:val="0409001D"/>
    <w:name w:val="Simmons&amp;Simm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937EB2"/>
    <w:multiLevelType w:val="multilevel"/>
    <w:tmpl w:val="E0FA8E66"/>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23A5D90"/>
    <w:multiLevelType w:val="hybridMultilevel"/>
    <w:tmpl w:val="BB92820C"/>
    <w:lvl w:ilvl="0">
      <w:start w:val="0"/>
      <w:numFmt w:val="bullet"/>
      <w:lvlText w:val="-"/>
      <w:lvlJc w:val="left"/>
      <w:pPr>
        <w:ind w:left="720" w:hanging="360"/>
      </w:pPr>
      <w:rPr>
        <w:rFonts w:ascii="Arial" w:eastAsia="MingLiU"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45C547DB"/>
    <w:multiLevelType w:val="hybridMultilevel"/>
    <w:tmpl w:val="2ABE434A"/>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464E539F"/>
    <w:multiLevelType w:val="multilevel"/>
    <w:tmpl w:val="576C219E"/>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193B13"/>
    <w:multiLevelType w:val="hybridMultilevel"/>
    <w:tmpl w:val="28ACA62C"/>
    <w:lvl w:ilvl="0">
      <w:start w:val="1"/>
      <w:numFmt w:val="upperLetter"/>
      <w:pStyle w:val="ssUserEntryLett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F1A6F9C"/>
    <w:multiLevelType w:val="multilevel"/>
    <w:tmpl w:val="0409001D"/>
    <w:name w:val="Simmons&amp;Simm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7E071B"/>
    <w:multiLevelType w:val="multilevel"/>
    <w:tmpl w:val="9496A6FC"/>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52E4331F"/>
    <w:multiLevelType w:val="hybridMultilevel"/>
    <w:tmpl w:val="DCA8D96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D140360"/>
    <w:multiLevelType w:val="multilevel"/>
    <w:tmpl w:val="EBBC1EFE"/>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787184"/>
    <w:multiLevelType w:val="multilevel"/>
    <w:tmpl w:val="FD044D0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751"/>
        </w:tabs>
        <w:ind w:left="751" w:hanging="851"/>
      </w:pPr>
      <w:rPr>
        <w:rFonts w:hint="default"/>
        <w:b w:val="0"/>
        <w:i w:val="0"/>
        <w:u w:val="none"/>
      </w:rPr>
    </w:lvl>
    <w:lvl w:ilvl="2">
      <w:start w:val="1"/>
      <w:numFmt w:val="decimal"/>
      <w:pStyle w:val="Level3"/>
      <w:lvlText w:val="%1.%2.%3"/>
      <w:lvlJc w:val="left"/>
      <w:pPr>
        <w:tabs>
          <w:tab w:val="num" w:pos="1743"/>
        </w:tabs>
        <w:ind w:left="1743" w:hanging="992"/>
      </w:pPr>
      <w:rPr>
        <w:rFonts w:hint="default"/>
        <w:b w:val="0"/>
        <w:i w:val="0"/>
        <w:u w:val="none"/>
      </w:rPr>
    </w:lvl>
    <w:lvl w:ilvl="3">
      <w:start w:val="1"/>
      <w:numFmt w:val="decimal"/>
      <w:pStyle w:val="Level4"/>
      <w:lvlText w:val="%1.%2.%3.%4"/>
      <w:lvlJc w:val="left"/>
      <w:pPr>
        <w:tabs>
          <w:tab w:val="num" w:pos="3019"/>
        </w:tabs>
        <w:ind w:left="3019" w:hanging="1276"/>
      </w:pPr>
      <w:rPr>
        <w:rFonts w:hint="default"/>
        <w:b w:val="0"/>
        <w:i w:val="0"/>
        <w:u w:val="none"/>
      </w:rPr>
    </w:lvl>
    <w:lvl w:ilvl="4">
      <w:start w:val="1"/>
      <w:numFmt w:val="lowerLetter"/>
      <w:pStyle w:val="Level5"/>
      <w:lvlText w:val="(%5)"/>
      <w:lvlJc w:val="left"/>
      <w:pPr>
        <w:tabs>
          <w:tab w:val="num" w:pos="3019"/>
        </w:tabs>
        <w:ind w:left="3019" w:hanging="1276"/>
      </w:pPr>
      <w:rPr>
        <w:rFonts w:hint="default"/>
        <w:b w:val="0"/>
        <w:i w:val="0"/>
        <w:u w:val="none"/>
      </w:rPr>
    </w:lvl>
    <w:lvl w:ilvl="5">
      <w:start w:val="1"/>
      <w:numFmt w:val="none"/>
      <w:lvlText w:val="(Not Defined)"/>
      <w:lvlJc w:val="left"/>
      <w:pPr>
        <w:tabs>
          <w:tab w:val="num" w:pos="3140"/>
        </w:tabs>
        <w:ind w:left="2636" w:hanging="936"/>
      </w:pPr>
      <w:rPr>
        <w:rFonts w:hint="default"/>
      </w:rPr>
    </w:lvl>
    <w:lvl w:ilvl="6">
      <w:start w:val="1"/>
      <w:numFmt w:val="none"/>
      <w:lvlText w:val="(Not Defined)"/>
      <w:lvlJc w:val="left"/>
      <w:pPr>
        <w:tabs>
          <w:tab w:val="num" w:pos="3500"/>
        </w:tabs>
        <w:ind w:left="3140" w:hanging="1080"/>
      </w:pPr>
      <w:rPr>
        <w:rFonts w:hint="default"/>
      </w:rPr>
    </w:lvl>
    <w:lvl w:ilvl="7">
      <w:start w:val="1"/>
      <w:numFmt w:val="none"/>
      <w:lvlText w:val="(Not Defined)"/>
      <w:lvlJc w:val="left"/>
      <w:pPr>
        <w:tabs>
          <w:tab w:val="num" w:pos="3860"/>
        </w:tabs>
        <w:ind w:left="3644" w:hanging="1224"/>
      </w:pPr>
      <w:rPr>
        <w:rFonts w:hint="default"/>
      </w:rPr>
    </w:lvl>
    <w:lvl w:ilvl="8">
      <w:start w:val="1"/>
      <w:numFmt w:val="none"/>
      <w:lvlText w:val="(Not Defined)"/>
      <w:lvlJc w:val="left"/>
      <w:pPr>
        <w:tabs>
          <w:tab w:val="num" w:pos="4220"/>
        </w:tabs>
        <w:ind w:left="4220" w:hanging="1440"/>
      </w:pPr>
      <w:rPr>
        <w:rFonts w:hint="default"/>
      </w:rPr>
    </w:lvl>
  </w:abstractNum>
  <w:abstractNum w:abstractNumId="29">
    <w:nsid w:val="67435190"/>
    <w:multiLevelType w:val="hybridMultilevel"/>
    <w:tmpl w:val="885CCC72"/>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07C279A"/>
    <w:multiLevelType w:val="hybridMultilevel"/>
    <w:tmpl w:val="53D0C9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2B37AC"/>
    <w:multiLevelType w:val="multilevel"/>
    <w:tmpl w:val="F5D807EE"/>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Jc w:val="left"/>
      <w:pPr>
        <w:ind w:left="0" w:firstLine="0"/>
      </w:pPr>
      <w:rPr>
        <w:rFonts w:hint="default"/>
        <w:b w:val="0"/>
      </w:rPr>
    </w:lvl>
    <w:lvl w:ilvl="8">
      <w:start w:val="1"/>
      <w:numFmt w:val="none"/>
      <w:pStyle w:val="Heading8"/>
      <w:suff w:val="nothing"/>
      <w:lvlJc w:val="left"/>
      <w:pPr>
        <w:ind w:left="0" w:firstLine="0"/>
      </w:pPr>
      <w:rPr>
        <w:rFonts w:hint="default"/>
        <w:b w:val="0"/>
      </w:rPr>
    </w:lvl>
  </w:abstractNum>
  <w:abstractNum w:abstractNumId="32">
    <w:nsid w:val="7A2C410F"/>
    <w:multiLevelType w:val="hybridMultilevel"/>
    <w:tmpl w:val="929CD210"/>
    <w:lvl w:ilvl="0">
      <w:start w:val="1"/>
      <w:numFmt w:val="decimal"/>
      <w:pStyle w:val="ssUserEntryNumbered"/>
      <w:lvlText w:val="(%1)"/>
      <w:lvlJc w:val="left"/>
      <w:pPr>
        <w:tabs>
          <w:tab w:val="num" w:pos="851"/>
        </w:tabs>
        <w:ind w:left="851" w:hanging="851"/>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D6B47FB"/>
    <w:multiLevelType w:val="hybridMultilevel"/>
    <w:tmpl w:val="89749AE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22"/>
  </w:num>
  <w:num w:numId="3">
    <w:abstractNumId w:val="4"/>
  </w:num>
  <w:num w:numId="4">
    <w:abstractNumId w:val="11"/>
  </w:num>
  <w:num w:numId="5">
    <w:abstractNumId w:val="6"/>
  </w:num>
  <w:num w:numId="6">
    <w:abstractNumId w:val="17"/>
  </w:num>
  <w:num w:numId="7">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
  </w:num>
  <w:num w:numId="9">
    <w:abstractNumId w:val="8"/>
  </w:num>
  <w:num w:numId="10">
    <w:abstractNumId w:val="25"/>
  </w:num>
  <w:num w:numId="11">
    <w:abstractNumId w:val="13"/>
  </w:num>
  <w:num w:numId="12">
    <w:abstractNumId w:val="18"/>
  </w:num>
  <w:num w:numId="13">
    <w:abstractNumId w:val="32"/>
  </w:num>
  <w:num w:numId="14">
    <w:abstractNumId w:val="23"/>
  </w:num>
  <w:num w:numId="15">
    <w:abstractNumId w:val="1"/>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0"/>
  </w:num>
  <w:num w:numId="21">
    <w:abstractNumId w:val="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33"/>
  </w:num>
  <w:num w:numId="27">
    <w:abstractNumId w:val="28"/>
  </w:num>
  <w:num w:numId="28">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7"/>
  </w:num>
  <w:num w:numId="31">
    <w:abstractNumId w:val="10"/>
  </w:num>
  <w:num w:numId="32">
    <w:abstractNumId w:val="21"/>
  </w:num>
  <w:num w:numId="33">
    <w:abstractNumId w:val="5"/>
  </w:num>
  <w:num w:numId="34">
    <w:abstractNumId w:val="26"/>
  </w:num>
  <w:num w:numId="35">
    <w:abstractNumId w:val="20"/>
    <w:lvlOverride w:ilvl="0">
      <w:startOverride w:val="1"/>
      <w:lvl w:ilvl="0">
        <w:start w:val="1"/>
        <w:numFmt w:val="decimal"/>
        <w:pStyle w:val="ssRestartNumber"/>
        <w:lvlJc w:val="left"/>
      </w:lvl>
    </w:lvlOverride>
    <w:lvlOverride w:ilvl="1">
      <w:startOverride w:val="1"/>
      <w:lvl w:ilvl="1">
        <w:start w:val="1"/>
        <w:numFmt w:val="decimal"/>
        <w:pStyle w:val="Heading1"/>
        <w:lvlJc w:val="left"/>
      </w:lvl>
    </w:lvlOverride>
    <w:lvlOverride w:ilvl="2">
      <w:startOverride w:val="1"/>
      <w:lvl w:ilvl="2">
        <w:start w:val="1"/>
        <w:numFmt w:val="decimal"/>
        <w:pStyle w:val="Heading2"/>
        <w:lvlText w:val="%2.%3"/>
        <w:lvlJc w:val="left"/>
        <w:pPr>
          <w:tabs>
            <w:tab w:val="num" w:pos="709"/>
          </w:tabs>
          <w:ind w:left="709" w:hanging="709"/>
        </w:pPr>
        <w:rPr>
          <w:rFonts w:ascii="Real Text Light" w:hAnsi="Real Text Light" w:hint="default"/>
          <w:b w:val="0"/>
          <w:i w:val="0"/>
          <w:strike w:val="0"/>
          <w:dstrike w:val="0"/>
          <w:sz w:val="20"/>
          <w:szCs w:val="20"/>
          <w:u w:val="none"/>
          <w:effect w:val="none"/>
        </w:rPr>
      </w:lvl>
    </w:lvlOverride>
    <w:lvlOverride w:ilvl="3">
      <w:startOverride w:val="1"/>
      <w:lvl w:ilvl="3">
        <w:start w:val="1"/>
        <w:numFmt w:val="decimal"/>
        <w:pStyle w:val="Heading3"/>
        <w:lvlJc w:val="left"/>
      </w:lvl>
    </w:lvlOverride>
    <w:lvlOverride w:ilvl="4">
      <w:startOverride w:val="1"/>
      <w:lvl w:ilvl="4">
        <w:start w:val="1"/>
        <w:numFmt w:val="decimal"/>
        <w:pStyle w:val="Heading4"/>
        <w:lvlJc w:val="left"/>
      </w:lvl>
    </w:lvlOverride>
    <w:lvlOverride w:ilvl="5">
      <w:startOverride w:val="1"/>
      <w:lvl w:ilvl="5">
        <w:start w:val="1"/>
        <w:numFmt w:val="decimal"/>
        <w:pStyle w:val="Heading5"/>
        <w:lvlJc w:val="left"/>
      </w:lvl>
    </w:lvlOverride>
    <w:lvlOverride w:ilvl="6">
      <w:startOverride w:val="1"/>
      <w:lvl w:ilvl="6">
        <w:start w:val="1"/>
        <w:numFmt w:val="decimal"/>
        <w:pStyle w:val="Heading6"/>
        <w:lvlJc w:val="left"/>
      </w:lvl>
    </w:lvlOverride>
    <w:lvlOverride w:ilvl="7">
      <w:startOverride w:val="1"/>
      <w:lvl w:ilvl="7">
        <w:start w:val="1"/>
        <w:numFmt w:val="decimal"/>
        <w:lvlJc w:val="left"/>
      </w:lvl>
    </w:lvlOverride>
    <w:lvlOverride w:ilvl="8">
      <w:startOverride w:val="1"/>
      <w:lvl w:ilvl="8">
        <w:start w:val="1"/>
        <w:numFmt w:val="decimal"/>
        <w:lvlJc w:val="left"/>
      </w:lvl>
    </w:lvlOverride>
  </w:num>
  <w:num w:numId="36">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00"/>
    <w:rsid w:val="00000541"/>
    <w:rsid w:val="00000931"/>
    <w:rsid w:val="000025DA"/>
    <w:rsid w:val="0000642F"/>
    <w:rsid w:val="00007828"/>
    <w:rsid w:val="00011BB6"/>
    <w:rsid w:val="00012057"/>
    <w:rsid w:val="00013344"/>
    <w:rsid w:val="00017FE3"/>
    <w:rsid w:val="0002030C"/>
    <w:rsid w:val="00020562"/>
    <w:rsid w:val="0002152F"/>
    <w:rsid w:val="000216F1"/>
    <w:rsid w:val="000237AA"/>
    <w:rsid w:val="0002460F"/>
    <w:rsid w:val="000273E7"/>
    <w:rsid w:val="00027409"/>
    <w:rsid w:val="00030DC1"/>
    <w:rsid w:val="00033A3A"/>
    <w:rsid w:val="00033D74"/>
    <w:rsid w:val="000358ED"/>
    <w:rsid w:val="00042B61"/>
    <w:rsid w:val="00042F18"/>
    <w:rsid w:val="00044C08"/>
    <w:rsid w:val="00045A81"/>
    <w:rsid w:val="00046600"/>
    <w:rsid w:val="00046BA9"/>
    <w:rsid w:val="00047C1A"/>
    <w:rsid w:val="00052EB5"/>
    <w:rsid w:val="00056808"/>
    <w:rsid w:val="00061337"/>
    <w:rsid w:val="0006294C"/>
    <w:rsid w:val="00063427"/>
    <w:rsid w:val="00063DA9"/>
    <w:rsid w:val="00066C7C"/>
    <w:rsid w:val="00072F1D"/>
    <w:rsid w:val="00074E66"/>
    <w:rsid w:val="0008013F"/>
    <w:rsid w:val="00082D44"/>
    <w:rsid w:val="000841D3"/>
    <w:rsid w:val="00085192"/>
    <w:rsid w:val="00085217"/>
    <w:rsid w:val="000852D7"/>
    <w:rsid w:val="00085F84"/>
    <w:rsid w:val="000861F3"/>
    <w:rsid w:val="0009730E"/>
    <w:rsid w:val="000A0842"/>
    <w:rsid w:val="000A0CBA"/>
    <w:rsid w:val="000A484F"/>
    <w:rsid w:val="000B2012"/>
    <w:rsid w:val="000B7082"/>
    <w:rsid w:val="000C1A7D"/>
    <w:rsid w:val="000C1B2D"/>
    <w:rsid w:val="000C31F5"/>
    <w:rsid w:val="000C4316"/>
    <w:rsid w:val="000C5283"/>
    <w:rsid w:val="000C6000"/>
    <w:rsid w:val="000D00FA"/>
    <w:rsid w:val="000D3A29"/>
    <w:rsid w:val="000D4993"/>
    <w:rsid w:val="000E166D"/>
    <w:rsid w:val="000E2339"/>
    <w:rsid w:val="000E3092"/>
    <w:rsid w:val="000E5900"/>
    <w:rsid w:val="000E7022"/>
    <w:rsid w:val="000F0E58"/>
    <w:rsid w:val="000F7E5F"/>
    <w:rsid w:val="00100D0D"/>
    <w:rsid w:val="00102D97"/>
    <w:rsid w:val="00103DC8"/>
    <w:rsid w:val="00105FAF"/>
    <w:rsid w:val="00117880"/>
    <w:rsid w:val="00122336"/>
    <w:rsid w:val="00122C39"/>
    <w:rsid w:val="00127EA1"/>
    <w:rsid w:val="00132B9A"/>
    <w:rsid w:val="001338B8"/>
    <w:rsid w:val="00134666"/>
    <w:rsid w:val="00137F72"/>
    <w:rsid w:val="0014329A"/>
    <w:rsid w:val="00143A59"/>
    <w:rsid w:val="00145364"/>
    <w:rsid w:val="0014621F"/>
    <w:rsid w:val="00147443"/>
    <w:rsid w:val="00153D25"/>
    <w:rsid w:val="001551F7"/>
    <w:rsid w:val="00161245"/>
    <w:rsid w:val="001614E2"/>
    <w:rsid w:val="00161789"/>
    <w:rsid w:val="00162800"/>
    <w:rsid w:val="001665E3"/>
    <w:rsid w:val="00166FAA"/>
    <w:rsid w:val="00173D8D"/>
    <w:rsid w:val="00176564"/>
    <w:rsid w:val="00182940"/>
    <w:rsid w:val="001831D3"/>
    <w:rsid w:val="001842B1"/>
    <w:rsid w:val="00187105"/>
    <w:rsid w:val="0018712B"/>
    <w:rsid w:val="00187846"/>
    <w:rsid w:val="00190A36"/>
    <w:rsid w:val="00191EB1"/>
    <w:rsid w:val="00194555"/>
    <w:rsid w:val="00196ED3"/>
    <w:rsid w:val="001A2050"/>
    <w:rsid w:val="001A2AF4"/>
    <w:rsid w:val="001A2E98"/>
    <w:rsid w:val="001A5DA6"/>
    <w:rsid w:val="001B0DFA"/>
    <w:rsid w:val="001B327B"/>
    <w:rsid w:val="001B3F58"/>
    <w:rsid w:val="001B7D67"/>
    <w:rsid w:val="001C0733"/>
    <w:rsid w:val="001C1DA7"/>
    <w:rsid w:val="001C79B0"/>
    <w:rsid w:val="001D1C2F"/>
    <w:rsid w:val="001D1D5B"/>
    <w:rsid w:val="001D47BA"/>
    <w:rsid w:val="001D5110"/>
    <w:rsid w:val="001E0B72"/>
    <w:rsid w:val="001E26CA"/>
    <w:rsid w:val="001E2F3F"/>
    <w:rsid w:val="001E6A00"/>
    <w:rsid w:val="001F13FF"/>
    <w:rsid w:val="001F2454"/>
    <w:rsid w:val="001F325F"/>
    <w:rsid w:val="001F6D26"/>
    <w:rsid w:val="001F7615"/>
    <w:rsid w:val="002033D1"/>
    <w:rsid w:val="00211A4D"/>
    <w:rsid w:val="00212490"/>
    <w:rsid w:val="00217C81"/>
    <w:rsid w:val="00217E2D"/>
    <w:rsid w:val="0022192B"/>
    <w:rsid w:val="0022307F"/>
    <w:rsid w:val="00223AFE"/>
    <w:rsid w:val="00225B81"/>
    <w:rsid w:val="002343A0"/>
    <w:rsid w:val="00250090"/>
    <w:rsid w:val="00255301"/>
    <w:rsid w:val="00261BC1"/>
    <w:rsid w:val="00266525"/>
    <w:rsid w:val="00266752"/>
    <w:rsid w:val="0027394D"/>
    <w:rsid w:val="0028021F"/>
    <w:rsid w:val="00280BB8"/>
    <w:rsid w:val="0028149C"/>
    <w:rsid w:val="00281902"/>
    <w:rsid w:val="00281BEC"/>
    <w:rsid w:val="002839B6"/>
    <w:rsid w:val="00287CED"/>
    <w:rsid w:val="00290847"/>
    <w:rsid w:val="002916CE"/>
    <w:rsid w:val="002A0837"/>
    <w:rsid w:val="002A41B5"/>
    <w:rsid w:val="002B0521"/>
    <w:rsid w:val="002B0BBC"/>
    <w:rsid w:val="002B2BDD"/>
    <w:rsid w:val="002B2C81"/>
    <w:rsid w:val="002B335F"/>
    <w:rsid w:val="002B5064"/>
    <w:rsid w:val="002B5CFA"/>
    <w:rsid w:val="002B694D"/>
    <w:rsid w:val="002C1C72"/>
    <w:rsid w:val="002C42E9"/>
    <w:rsid w:val="002C78D4"/>
    <w:rsid w:val="002D32C2"/>
    <w:rsid w:val="002D5315"/>
    <w:rsid w:val="002D7E31"/>
    <w:rsid w:val="002E4D15"/>
    <w:rsid w:val="002F1E49"/>
    <w:rsid w:val="002F2C37"/>
    <w:rsid w:val="0030080E"/>
    <w:rsid w:val="003010D6"/>
    <w:rsid w:val="003016C0"/>
    <w:rsid w:val="003035FB"/>
    <w:rsid w:val="00306D7C"/>
    <w:rsid w:val="00313143"/>
    <w:rsid w:val="0031410A"/>
    <w:rsid w:val="003163F7"/>
    <w:rsid w:val="003211F0"/>
    <w:rsid w:val="00326FF5"/>
    <w:rsid w:val="003334DA"/>
    <w:rsid w:val="00334D6C"/>
    <w:rsid w:val="003351FA"/>
    <w:rsid w:val="003355D9"/>
    <w:rsid w:val="00337947"/>
    <w:rsid w:val="00340BDB"/>
    <w:rsid w:val="00343218"/>
    <w:rsid w:val="003539E8"/>
    <w:rsid w:val="003548CF"/>
    <w:rsid w:val="00355225"/>
    <w:rsid w:val="003557B7"/>
    <w:rsid w:val="003564ED"/>
    <w:rsid w:val="00356F1E"/>
    <w:rsid w:val="00360535"/>
    <w:rsid w:val="00363FC0"/>
    <w:rsid w:val="00364F29"/>
    <w:rsid w:val="00366C07"/>
    <w:rsid w:val="00367F91"/>
    <w:rsid w:val="00370C2F"/>
    <w:rsid w:val="00372ADD"/>
    <w:rsid w:val="00374493"/>
    <w:rsid w:val="00376AFE"/>
    <w:rsid w:val="00376B60"/>
    <w:rsid w:val="00382BB9"/>
    <w:rsid w:val="003861BB"/>
    <w:rsid w:val="00387F00"/>
    <w:rsid w:val="00390769"/>
    <w:rsid w:val="003913D6"/>
    <w:rsid w:val="003A0567"/>
    <w:rsid w:val="003A0A6F"/>
    <w:rsid w:val="003A690E"/>
    <w:rsid w:val="003A7104"/>
    <w:rsid w:val="003B05D3"/>
    <w:rsid w:val="003B093E"/>
    <w:rsid w:val="003B5435"/>
    <w:rsid w:val="003C4223"/>
    <w:rsid w:val="003C4514"/>
    <w:rsid w:val="003C55D3"/>
    <w:rsid w:val="003C55F0"/>
    <w:rsid w:val="003C5C25"/>
    <w:rsid w:val="003D0F37"/>
    <w:rsid w:val="003D29E5"/>
    <w:rsid w:val="003D69E0"/>
    <w:rsid w:val="003D79C2"/>
    <w:rsid w:val="003D7CC8"/>
    <w:rsid w:val="003E1A27"/>
    <w:rsid w:val="003E4973"/>
    <w:rsid w:val="003E77D4"/>
    <w:rsid w:val="003F0EF6"/>
    <w:rsid w:val="003F4790"/>
    <w:rsid w:val="00403282"/>
    <w:rsid w:val="004076BE"/>
    <w:rsid w:val="0041095A"/>
    <w:rsid w:val="004132E0"/>
    <w:rsid w:val="00415E9C"/>
    <w:rsid w:val="00420453"/>
    <w:rsid w:val="004252C8"/>
    <w:rsid w:val="004267E6"/>
    <w:rsid w:val="00432F01"/>
    <w:rsid w:val="00434069"/>
    <w:rsid w:val="004360F1"/>
    <w:rsid w:val="00445308"/>
    <w:rsid w:val="00445708"/>
    <w:rsid w:val="00446CF1"/>
    <w:rsid w:val="00446EC1"/>
    <w:rsid w:val="00451625"/>
    <w:rsid w:val="00455371"/>
    <w:rsid w:val="00461049"/>
    <w:rsid w:val="00461577"/>
    <w:rsid w:val="00462039"/>
    <w:rsid w:val="00462601"/>
    <w:rsid w:val="00463B1E"/>
    <w:rsid w:val="004646B4"/>
    <w:rsid w:val="00470666"/>
    <w:rsid w:val="00471926"/>
    <w:rsid w:val="00471AE5"/>
    <w:rsid w:val="004728AE"/>
    <w:rsid w:val="00472E6D"/>
    <w:rsid w:val="00473566"/>
    <w:rsid w:val="0047393E"/>
    <w:rsid w:val="00474BE5"/>
    <w:rsid w:val="00476C53"/>
    <w:rsid w:val="00480A45"/>
    <w:rsid w:val="004811A0"/>
    <w:rsid w:val="004825EF"/>
    <w:rsid w:val="004833EE"/>
    <w:rsid w:val="00484342"/>
    <w:rsid w:val="00486385"/>
    <w:rsid w:val="00490A7C"/>
    <w:rsid w:val="004915F7"/>
    <w:rsid w:val="0049192E"/>
    <w:rsid w:val="00495A39"/>
    <w:rsid w:val="00495ACD"/>
    <w:rsid w:val="00496B51"/>
    <w:rsid w:val="004974F0"/>
    <w:rsid w:val="004A1A6F"/>
    <w:rsid w:val="004A70C5"/>
    <w:rsid w:val="004B0AC7"/>
    <w:rsid w:val="004B0F94"/>
    <w:rsid w:val="004C3C01"/>
    <w:rsid w:val="004C3CB6"/>
    <w:rsid w:val="004C5CE8"/>
    <w:rsid w:val="004C732C"/>
    <w:rsid w:val="004C7B5F"/>
    <w:rsid w:val="004C7CB6"/>
    <w:rsid w:val="004D1ABA"/>
    <w:rsid w:val="004D22D8"/>
    <w:rsid w:val="004D633D"/>
    <w:rsid w:val="004E1AD3"/>
    <w:rsid w:val="004E22A0"/>
    <w:rsid w:val="004E4746"/>
    <w:rsid w:val="004E7159"/>
    <w:rsid w:val="004F1637"/>
    <w:rsid w:val="004F7846"/>
    <w:rsid w:val="005003BA"/>
    <w:rsid w:val="00504B47"/>
    <w:rsid w:val="005062AA"/>
    <w:rsid w:val="005119EC"/>
    <w:rsid w:val="00513BC4"/>
    <w:rsid w:val="00517AAF"/>
    <w:rsid w:val="00524B29"/>
    <w:rsid w:val="0052599B"/>
    <w:rsid w:val="005259C6"/>
    <w:rsid w:val="005279EE"/>
    <w:rsid w:val="00533864"/>
    <w:rsid w:val="00534670"/>
    <w:rsid w:val="005411B5"/>
    <w:rsid w:val="0055055B"/>
    <w:rsid w:val="0055076C"/>
    <w:rsid w:val="0055120D"/>
    <w:rsid w:val="0055149E"/>
    <w:rsid w:val="00551AC2"/>
    <w:rsid w:val="005534ED"/>
    <w:rsid w:val="005548CF"/>
    <w:rsid w:val="005561D0"/>
    <w:rsid w:val="00557C95"/>
    <w:rsid w:val="005630F2"/>
    <w:rsid w:val="00567ABB"/>
    <w:rsid w:val="00567FB4"/>
    <w:rsid w:val="00574DA2"/>
    <w:rsid w:val="00575B5F"/>
    <w:rsid w:val="00576C35"/>
    <w:rsid w:val="0058290C"/>
    <w:rsid w:val="0058311F"/>
    <w:rsid w:val="005836B1"/>
    <w:rsid w:val="00586120"/>
    <w:rsid w:val="005911D1"/>
    <w:rsid w:val="00592491"/>
    <w:rsid w:val="005927A1"/>
    <w:rsid w:val="00594C04"/>
    <w:rsid w:val="00595DB1"/>
    <w:rsid w:val="005969F5"/>
    <w:rsid w:val="005A0199"/>
    <w:rsid w:val="005A08DB"/>
    <w:rsid w:val="005A0D68"/>
    <w:rsid w:val="005A198C"/>
    <w:rsid w:val="005A719F"/>
    <w:rsid w:val="005B0C13"/>
    <w:rsid w:val="005B1144"/>
    <w:rsid w:val="005B17B3"/>
    <w:rsid w:val="005B19F3"/>
    <w:rsid w:val="005B41CD"/>
    <w:rsid w:val="005B5CB5"/>
    <w:rsid w:val="005C215F"/>
    <w:rsid w:val="005C4684"/>
    <w:rsid w:val="005C70B4"/>
    <w:rsid w:val="005C7C06"/>
    <w:rsid w:val="005D25E5"/>
    <w:rsid w:val="005E3254"/>
    <w:rsid w:val="005E6581"/>
    <w:rsid w:val="005E6934"/>
    <w:rsid w:val="0060258C"/>
    <w:rsid w:val="00602678"/>
    <w:rsid w:val="00604B4D"/>
    <w:rsid w:val="00605512"/>
    <w:rsid w:val="006056E0"/>
    <w:rsid w:val="00611167"/>
    <w:rsid w:val="0061116A"/>
    <w:rsid w:val="00612640"/>
    <w:rsid w:val="00615954"/>
    <w:rsid w:val="0061622D"/>
    <w:rsid w:val="00616731"/>
    <w:rsid w:val="0061685D"/>
    <w:rsid w:val="006204AE"/>
    <w:rsid w:val="00623DA4"/>
    <w:rsid w:val="006267B7"/>
    <w:rsid w:val="006301AA"/>
    <w:rsid w:val="0063082F"/>
    <w:rsid w:val="00633F59"/>
    <w:rsid w:val="00636375"/>
    <w:rsid w:val="00640DBD"/>
    <w:rsid w:val="006424F5"/>
    <w:rsid w:val="00645DBA"/>
    <w:rsid w:val="006469D7"/>
    <w:rsid w:val="0065074C"/>
    <w:rsid w:val="006523CC"/>
    <w:rsid w:val="0065570E"/>
    <w:rsid w:val="00655DFC"/>
    <w:rsid w:val="00656954"/>
    <w:rsid w:val="00660EC8"/>
    <w:rsid w:val="006615EA"/>
    <w:rsid w:val="0066500A"/>
    <w:rsid w:val="0067064F"/>
    <w:rsid w:val="00673577"/>
    <w:rsid w:val="00675322"/>
    <w:rsid w:val="006753AB"/>
    <w:rsid w:val="0068087F"/>
    <w:rsid w:val="00680E05"/>
    <w:rsid w:val="00682252"/>
    <w:rsid w:val="00682C12"/>
    <w:rsid w:val="0068330B"/>
    <w:rsid w:val="0068489E"/>
    <w:rsid w:val="00686243"/>
    <w:rsid w:val="00691D13"/>
    <w:rsid w:val="006920C9"/>
    <w:rsid w:val="00695A16"/>
    <w:rsid w:val="006965F9"/>
    <w:rsid w:val="006A105A"/>
    <w:rsid w:val="006A47AE"/>
    <w:rsid w:val="006A4FF6"/>
    <w:rsid w:val="006A5494"/>
    <w:rsid w:val="006A6975"/>
    <w:rsid w:val="006A7646"/>
    <w:rsid w:val="006B0070"/>
    <w:rsid w:val="006B5BC4"/>
    <w:rsid w:val="006B5D15"/>
    <w:rsid w:val="006B644C"/>
    <w:rsid w:val="006B6BC8"/>
    <w:rsid w:val="006B739C"/>
    <w:rsid w:val="006B7C35"/>
    <w:rsid w:val="006C35EA"/>
    <w:rsid w:val="006C4593"/>
    <w:rsid w:val="006C57AA"/>
    <w:rsid w:val="006D36C8"/>
    <w:rsid w:val="006E1B3E"/>
    <w:rsid w:val="006E35C5"/>
    <w:rsid w:val="006E5564"/>
    <w:rsid w:val="006F5E83"/>
    <w:rsid w:val="006F5FC4"/>
    <w:rsid w:val="006F6128"/>
    <w:rsid w:val="006F6829"/>
    <w:rsid w:val="006F7F44"/>
    <w:rsid w:val="00701BB3"/>
    <w:rsid w:val="0070403E"/>
    <w:rsid w:val="00705819"/>
    <w:rsid w:val="0070654D"/>
    <w:rsid w:val="00706AF6"/>
    <w:rsid w:val="0071393E"/>
    <w:rsid w:val="00713E5C"/>
    <w:rsid w:val="0071660E"/>
    <w:rsid w:val="0071663E"/>
    <w:rsid w:val="00722CF2"/>
    <w:rsid w:val="00723F12"/>
    <w:rsid w:val="00725A68"/>
    <w:rsid w:val="00727953"/>
    <w:rsid w:val="0073094D"/>
    <w:rsid w:val="007316DE"/>
    <w:rsid w:val="007323EE"/>
    <w:rsid w:val="00732D3F"/>
    <w:rsid w:val="00733834"/>
    <w:rsid w:val="00734697"/>
    <w:rsid w:val="007349EE"/>
    <w:rsid w:val="00734C9A"/>
    <w:rsid w:val="0073667F"/>
    <w:rsid w:val="00736A2E"/>
    <w:rsid w:val="007405DB"/>
    <w:rsid w:val="00742628"/>
    <w:rsid w:val="00743034"/>
    <w:rsid w:val="00744B41"/>
    <w:rsid w:val="00751231"/>
    <w:rsid w:val="00753D08"/>
    <w:rsid w:val="00753D12"/>
    <w:rsid w:val="0075451C"/>
    <w:rsid w:val="007617F4"/>
    <w:rsid w:val="00762CA6"/>
    <w:rsid w:val="00765AEA"/>
    <w:rsid w:val="007709D7"/>
    <w:rsid w:val="00770FC9"/>
    <w:rsid w:val="00773967"/>
    <w:rsid w:val="00774A72"/>
    <w:rsid w:val="0077501D"/>
    <w:rsid w:val="007776C0"/>
    <w:rsid w:val="0078024B"/>
    <w:rsid w:val="00782D9B"/>
    <w:rsid w:val="00785A69"/>
    <w:rsid w:val="00786B7C"/>
    <w:rsid w:val="007874E5"/>
    <w:rsid w:val="00797E96"/>
    <w:rsid w:val="007A090E"/>
    <w:rsid w:val="007A0B18"/>
    <w:rsid w:val="007A2096"/>
    <w:rsid w:val="007A22CE"/>
    <w:rsid w:val="007A459B"/>
    <w:rsid w:val="007A4CFC"/>
    <w:rsid w:val="007A7F66"/>
    <w:rsid w:val="007B33DA"/>
    <w:rsid w:val="007B46DF"/>
    <w:rsid w:val="007B4853"/>
    <w:rsid w:val="007B6FAA"/>
    <w:rsid w:val="007C3311"/>
    <w:rsid w:val="007C4658"/>
    <w:rsid w:val="007C4FD0"/>
    <w:rsid w:val="007C65BA"/>
    <w:rsid w:val="007D2CA5"/>
    <w:rsid w:val="007F1F71"/>
    <w:rsid w:val="007F2F5A"/>
    <w:rsid w:val="007F46D2"/>
    <w:rsid w:val="007F4B7F"/>
    <w:rsid w:val="007F7288"/>
    <w:rsid w:val="008003EA"/>
    <w:rsid w:val="008028BE"/>
    <w:rsid w:val="00802D4C"/>
    <w:rsid w:val="0080494C"/>
    <w:rsid w:val="00810783"/>
    <w:rsid w:val="00810C27"/>
    <w:rsid w:val="00812282"/>
    <w:rsid w:val="00816126"/>
    <w:rsid w:val="00817FEB"/>
    <w:rsid w:val="00820000"/>
    <w:rsid w:val="00820745"/>
    <w:rsid w:val="008217F1"/>
    <w:rsid w:val="0082241D"/>
    <w:rsid w:val="00824910"/>
    <w:rsid w:val="00824F97"/>
    <w:rsid w:val="00825245"/>
    <w:rsid w:val="008275D5"/>
    <w:rsid w:val="00827865"/>
    <w:rsid w:val="0083173A"/>
    <w:rsid w:val="00835340"/>
    <w:rsid w:val="0084286D"/>
    <w:rsid w:val="0084341E"/>
    <w:rsid w:val="008527BF"/>
    <w:rsid w:val="0085294C"/>
    <w:rsid w:val="008538EB"/>
    <w:rsid w:val="00854CA1"/>
    <w:rsid w:val="00864C16"/>
    <w:rsid w:val="0086553D"/>
    <w:rsid w:val="00867537"/>
    <w:rsid w:val="0086773F"/>
    <w:rsid w:val="008727B5"/>
    <w:rsid w:val="008740B4"/>
    <w:rsid w:val="00877D0F"/>
    <w:rsid w:val="00880CF8"/>
    <w:rsid w:val="008838DF"/>
    <w:rsid w:val="00883C08"/>
    <w:rsid w:val="00885D91"/>
    <w:rsid w:val="00885DFA"/>
    <w:rsid w:val="008862D7"/>
    <w:rsid w:val="00890309"/>
    <w:rsid w:val="008913BB"/>
    <w:rsid w:val="00894799"/>
    <w:rsid w:val="00896331"/>
    <w:rsid w:val="008A1628"/>
    <w:rsid w:val="008A1F3A"/>
    <w:rsid w:val="008A545F"/>
    <w:rsid w:val="008A669E"/>
    <w:rsid w:val="008A68AF"/>
    <w:rsid w:val="008A6B6F"/>
    <w:rsid w:val="008B0BC0"/>
    <w:rsid w:val="008B1B24"/>
    <w:rsid w:val="008B4822"/>
    <w:rsid w:val="008C0DB4"/>
    <w:rsid w:val="008C2AD6"/>
    <w:rsid w:val="008C3044"/>
    <w:rsid w:val="008C4182"/>
    <w:rsid w:val="008C5254"/>
    <w:rsid w:val="008D02D1"/>
    <w:rsid w:val="008D2657"/>
    <w:rsid w:val="008D3539"/>
    <w:rsid w:val="008D78E5"/>
    <w:rsid w:val="008E130B"/>
    <w:rsid w:val="008E5C70"/>
    <w:rsid w:val="008E71AF"/>
    <w:rsid w:val="008F26FE"/>
    <w:rsid w:val="008F3C6C"/>
    <w:rsid w:val="00901038"/>
    <w:rsid w:val="00905B74"/>
    <w:rsid w:val="009071F1"/>
    <w:rsid w:val="00907DED"/>
    <w:rsid w:val="00913293"/>
    <w:rsid w:val="00914954"/>
    <w:rsid w:val="009162EC"/>
    <w:rsid w:val="00917B8B"/>
    <w:rsid w:val="009226EE"/>
    <w:rsid w:val="009254D3"/>
    <w:rsid w:val="00926357"/>
    <w:rsid w:val="0092726F"/>
    <w:rsid w:val="00930EF2"/>
    <w:rsid w:val="0093321D"/>
    <w:rsid w:val="009351EF"/>
    <w:rsid w:val="00936DF7"/>
    <w:rsid w:val="00937478"/>
    <w:rsid w:val="00937B33"/>
    <w:rsid w:val="00946AEB"/>
    <w:rsid w:val="00951181"/>
    <w:rsid w:val="00951C34"/>
    <w:rsid w:val="00953B79"/>
    <w:rsid w:val="009559A7"/>
    <w:rsid w:val="00961FA3"/>
    <w:rsid w:val="00962BF4"/>
    <w:rsid w:val="00965036"/>
    <w:rsid w:val="00965E15"/>
    <w:rsid w:val="00967BDB"/>
    <w:rsid w:val="00971C9A"/>
    <w:rsid w:val="00972A80"/>
    <w:rsid w:val="00972EC4"/>
    <w:rsid w:val="00974380"/>
    <w:rsid w:val="009806F3"/>
    <w:rsid w:val="00985BA9"/>
    <w:rsid w:val="00990F5C"/>
    <w:rsid w:val="00992696"/>
    <w:rsid w:val="009950C0"/>
    <w:rsid w:val="0099541A"/>
    <w:rsid w:val="00997D7C"/>
    <w:rsid w:val="009A20BE"/>
    <w:rsid w:val="009A40A7"/>
    <w:rsid w:val="009A4D9E"/>
    <w:rsid w:val="009B0310"/>
    <w:rsid w:val="009B3448"/>
    <w:rsid w:val="009B6218"/>
    <w:rsid w:val="009B6FE0"/>
    <w:rsid w:val="009C1474"/>
    <w:rsid w:val="009C41F4"/>
    <w:rsid w:val="009C5244"/>
    <w:rsid w:val="009C5BA6"/>
    <w:rsid w:val="009D0AEF"/>
    <w:rsid w:val="009D41F0"/>
    <w:rsid w:val="009D43EC"/>
    <w:rsid w:val="009D47C4"/>
    <w:rsid w:val="009E0A30"/>
    <w:rsid w:val="009E0D65"/>
    <w:rsid w:val="009E13FE"/>
    <w:rsid w:val="009E3CC2"/>
    <w:rsid w:val="009F738C"/>
    <w:rsid w:val="00A000F6"/>
    <w:rsid w:val="00A008B7"/>
    <w:rsid w:val="00A00A24"/>
    <w:rsid w:val="00A01318"/>
    <w:rsid w:val="00A053A6"/>
    <w:rsid w:val="00A0575F"/>
    <w:rsid w:val="00A0728C"/>
    <w:rsid w:val="00A12DB4"/>
    <w:rsid w:val="00A1696B"/>
    <w:rsid w:val="00A22155"/>
    <w:rsid w:val="00A22196"/>
    <w:rsid w:val="00A23067"/>
    <w:rsid w:val="00A23C5D"/>
    <w:rsid w:val="00A24A15"/>
    <w:rsid w:val="00A31885"/>
    <w:rsid w:val="00A35016"/>
    <w:rsid w:val="00A3711C"/>
    <w:rsid w:val="00A415F0"/>
    <w:rsid w:val="00A439C4"/>
    <w:rsid w:val="00A43D53"/>
    <w:rsid w:val="00A46746"/>
    <w:rsid w:val="00A47C10"/>
    <w:rsid w:val="00A50E41"/>
    <w:rsid w:val="00A54E8E"/>
    <w:rsid w:val="00A614F9"/>
    <w:rsid w:val="00A61E68"/>
    <w:rsid w:val="00A631E9"/>
    <w:rsid w:val="00A64D09"/>
    <w:rsid w:val="00A66088"/>
    <w:rsid w:val="00A827E5"/>
    <w:rsid w:val="00A837A4"/>
    <w:rsid w:val="00A845F9"/>
    <w:rsid w:val="00A87EDC"/>
    <w:rsid w:val="00A903C4"/>
    <w:rsid w:val="00A9567D"/>
    <w:rsid w:val="00AA10E1"/>
    <w:rsid w:val="00AA3C62"/>
    <w:rsid w:val="00AA6276"/>
    <w:rsid w:val="00AA75BD"/>
    <w:rsid w:val="00AB2227"/>
    <w:rsid w:val="00AB26FD"/>
    <w:rsid w:val="00AB28E4"/>
    <w:rsid w:val="00AB4DE0"/>
    <w:rsid w:val="00AB59C4"/>
    <w:rsid w:val="00AB5FC0"/>
    <w:rsid w:val="00AC2208"/>
    <w:rsid w:val="00AC2223"/>
    <w:rsid w:val="00AC2DBE"/>
    <w:rsid w:val="00AC2F05"/>
    <w:rsid w:val="00AD013C"/>
    <w:rsid w:val="00AD0D9A"/>
    <w:rsid w:val="00AD2B2F"/>
    <w:rsid w:val="00AD67A5"/>
    <w:rsid w:val="00AE3606"/>
    <w:rsid w:val="00AE746F"/>
    <w:rsid w:val="00AF04C5"/>
    <w:rsid w:val="00AF7C67"/>
    <w:rsid w:val="00B0080E"/>
    <w:rsid w:val="00B014B2"/>
    <w:rsid w:val="00B0315E"/>
    <w:rsid w:val="00B044CF"/>
    <w:rsid w:val="00B05429"/>
    <w:rsid w:val="00B109FE"/>
    <w:rsid w:val="00B11933"/>
    <w:rsid w:val="00B11C00"/>
    <w:rsid w:val="00B161B5"/>
    <w:rsid w:val="00B16DE8"/>
    <w:rsid w:val="00B27F13"/>
    <w:rsid w:val="00B30003"/>
    <w:rsid w:val="00B31F2A"/>
    <w:rsid w:val="00B32F1C"/>
    <w:rsid w:val="00B34998"/>
    <w:rsid w:val="00B4021B"/>
    <w:rsid w:val="00B444E3"/>
    <w:rsid w:val="00B449FF"/>
    <w:rsid w:val="00B46942"/>
    <w:rsid w:val="00B471FD"/>
    <w:rsid w:val="00B47B2B"/>
    <w:rsid w:val="00B50239"/>
    <w:rsid w:val="00B64DDC"/>
    <w:rsid w:val="00B65749"/>
    <w:rsid w:val="00B6757A"/>
    <w:rsid w:val="00B7291C"/>
    <w:rsid w:val="00B7305E"/>
    <w:rsid w:val="00B75EFE"/>
    <w:rsid w:val="00B80401"/>
    <w:rsid w:val="00B8237C"/>
    <w:rsid w:val="00B82E30"/>
    <w:rsid w:val="00B82E63"/>
    <w:rsid w:val="00B8312A"/>
    <w:rsid w:val="00B8460B"/>
    <w:rsid w:val="00B92D4C"/>
    <w:rsid w:val="00B95599"/>
    <w:rsid w:val="00B975FC"/>
    <w:rsid w:val="00BA0F97"/>
    <w:rsid w:val="00BA2449"/>
    <w:rsid w:val="00BA33CF"/>
    <w:rsid w:val="00BA3714"/>
    <w:rsid w:val="00BA3EE4"/>
    <w:rsid w:val="00BA712B"/>
    <w:rsid w:val="00BA7A5D"/>
    <w:rsid w:val="00BB3AB7"/>
    <w:rsid w:val="00BB498B"/>
    <w:rsid w:val="00BB5284"/>
    <w:rsid w:val="00BB730C"/>
    <w:rsid w:val="00BC5B70"/>
    <w:rsid w:val="00BC5C56"/>
    <w:rsid w:val="00BC5C95"/>
    <w:rsid w:val="00BD1BEF"/>
    <w:rsid w:val="00BD22F7"/>
    <w:rsid w:val="00BD34E3"/>
    <w:rsid w:val="00BD5C66"/>
    <w:rsid w:val="00BD7765"/>
    <w:rsid w:val="00BE0A55"/>
    <w:rsid w:val="00BE0BF8"/>
    <w:rsid w:val="00BE1041"/>
    <w:rsid w:val="00BE3833"/>
    <w:rsid w:val="00BF1531"/>
    <w:rsid w:val="00BF7F4A"/>
    <w:rsid w:val="00C0038A"/>
    <w:rsid w:val="00C00A57"/>
    <w:rsid w:val="00C00F10"/>
    <w:rsid w:val="00C012F1"/>
    <w:rsid w:val="00C01A66"/>
    <w:rsid w:val="00C01B11"/>
    <w:rsid w:val="00C02C80"/>
    <w:rsid w:val="00C07A0D"/>
    <w:rsid w:val="00C13C1F"/>
    <w:rsid w:val="00C15D6D"/>
    <w:rsid w:val="00C17656"/>
    <w:rsid w:val="00C210C2"/>
    <w:rsid w:val="00C22846"/>
    <w:rsid w:val="00C24741"/>
    <w:rsid w:val="00C31D66"/>
    <w:rsid w:val="00C33FEF"/>
    <w:rsid w:val="00C36580"/>
    <w:rsid w:val="00C40AC8"/>
    <w:rsid w:val="00C41C4C"/>
    <w:rsid w:val="00C42FF5"/>
    <w:rsid w:val="00C44FB6"/>
    <w:rsid w:val="00C45926"/>
    <w:rsid w:val="00C45FC3"/>
    <w:rsid w:val="00C5508B"/>
    <w:rsid w:val="00C55228"/>
    <w:rsid w:val="00C552A6"/>
    <w:rsid w:val="00C558D6"/>
    <w:rsid w:val="00C60852"/>
    <w:rsid w:val="00C609BD"/>
    <w:rsid w:val="00C72B4A"/>
    <w:rsid w:val="00C73BC2"/>
    <w:rsid w:val="00C73F3C"/>
    <w:rsid w:val="00C77A31"/>
    <w:rsid w:val="00C82B90"/>
    <w:rsid w:val="00C834EB"/>
    <w:rsid w:val="00C84249"/>
    <w:rsid w:val="00C86220"/>
    <w:rsid w:val="00C90F47"/>
    <w:rsid w:val="00C921B8"/>
    <w:rsid w:val="00C959C2"/>
    <w:rsid w:val="00C96557"/>
    <w:rsid w:val="00C970BC"/>
    <w:rsid w:val="00C97929"/>
    <w:rsid w:val="00CA06BF"/>
    <w:rsid w:val="00CA4FF4"/>
    <w:rsid w:val="00CA5FC2"/>
    <w:rsid w:val="00CA7239"/>
    <w:rsid w:val="00CB074B"/>
    <w:rsid w:val="00CB1ABB"/>
    <w:rsid w:val="00CB41D9"/>
    <w:rsid w:val="00CC090C"/>
    <w:rsid w:val="00CC1773"/>
    <w:rsid w:val="00CC269A"/>
    <w:rsid w:val="00CC47DA"/>
    <w:rsid w:val="00CC7C99"/>
    <w:rsid w:val="00CD0A34"/>
    <w:rsid w:val="00CD32BA"/>
    <w:rsid w:val="00CD39B9"/>
    <w:rsid w:val="00CD712E"/>
    <w:rsid w:val="00CD7ADE"/>
    <w:rsid w:val="00CE0C15"/>
    <w:rsid w:val="00CE19F9"/>
    <w:rsid w:val="00CE53BA"/>
    <w:rsid w:val="00CE619B"/>
    <w:rsid w:val="00CE69F7"/>
    <w:rsid w:val="00CF2E86"/>
    <w:rsid w:val="00CF3612"/>
    <w:rsid w:val="00CF590F"/>
    <w:rsid w:val="00CF6786"/>
    <w:rsid w:val="00CF70D1"/>
    <w:rsid w:val="00D02305"/>
    <w:rsid w:val="00D100EC"/>
    <w:rsid w:val="00D10BCD"/>
    <w:rsid w:val="00D11869"/>
    <w:rsid w:val="00D15A2D"/>
    <w:rsid w:val="00D20EBF"/>
    <w:rsid w:val="00D20F66"/>
    <w:rsid w:val="00D2233E"/>
    <w:rsid w:val="00D27151"/>
    <w:rsid w:val="00D279AD"/>
    <w:rsid w:val="00D3158F"/>
    <w:rsid w:val="00D34A56"/>
    <w:rsid w:val="00D40CE4"/>
    <w:rsid w:val="00D4192F"/>
    <w:rsid w:val="00D44764"/>
    <w:rsid w:val="00D46441"/>
    <w:rsid w:val="00D46515"/>
    <w:rsid w:val="00D51E87"/>
    <w:rsid w:val="00D520FF"/>
    <w:rsid w:val="00D53567"/>
    <w:rsid w:val="00D54224"/>
    <w:rsid w:val="00D57F13"/>
    <w:rsid w:val="00D61D1E"/>
    <w:rsid w:val="00D725EF"/>
    <w:rsid w:val="00D76F7F"/>
    <w:rsid w:val="00D778D8"/>
    <w:rsid w:val="00D80131"/>
    <w:rsid w:val="00D8139B"/>
    <w:rsid w:val="00D81E67"/>
    <w:rsid w:val="00D84DEC"/>
    <w:rsid w:val="00D87890"/>
    <w:rsid w:val="00D9111F"/>
    <w:rsid w:val="00D93BF0"/>
    <w:rsid w:val="00D94B79"/>
    <w:rsid w:val="00DA01FE"/>
    <w:rsid w:val="00DA2BCD"/>
    <w:rsid w:val="00DA3154"/>
    <w:rsid w:val="00DA79D6"/>
    <w:rsid w:val="00DA7BE9"/>
    <w:rsid w:val="00DB1898"/>
    <w:rsid w:val="00DB67A5"/>
    <w:rsid w:val="00DC29D5"/>
    <w:rsid w:val="00DC41E1"/>
    <w:rsid w:val="00DC6305"/>
    <w:rsid w:val="00DC71AB"/>
    <w:rsid w:val="00DD1507"/>
    <w:rsid w:val="00DD2FD0"/>
    <w:rsid w:val="00DD3019"/>
    <w:rsid w:val="00DD3B89"/>
    <w:rsid w:val="00DD5124"/>
    <w:rsid w:val="00DD6D89"/>
    <w:rsid w:val="00DE0EC6"/>
    <w:rsid w:val="00DE258B"/>
    <w:rsid w:val="00DE2AED"/>
    <w:rsid w:val="00DE2F69"/>
    <w:rsid w:val="00DE3241"/>
    <w:rsid w:val="00DE58A5"/>
    <w:rsid w:val="00DF1172"/>
    <w:rsid w:val="00DF2223"/>
    <w:rsid w:val="00DF40F9"/>
    <w:rsid w:val="00DF4D17"/>
    <w:rsid w:val="00DF5183"/>
    <w:rsid w:val="00E10339"/>
    <w:rsid w:val="00E10740"/>
    <w:rsid w:val="00E149D0"/>
    <w:rsid w:val="00E201FF"/>
    <w:rsid w:val="00E2119D"/>
    <w:rsid w:val="00E25FFA"/>
    <w:rsid w:val="00E26417"/>
    <w:rsid w:val="00E314EB"/>
    <w:rsid w:val="00E32C59"/>
    <w:rsid w:val="00E33B6A"/>
    <w:rsid w:val="00E33E15"/>
    <w:rsid w:val="00E3515B"/>
    <w:rsid w:val="00E358A7"/>
    <w:rsid w:val="00E35FFE"/>
    <w:rsid w:val="00E364E9"/>
    <w:rsid w:val="00E367FE"/>
    <w:rsid w:val="00E41BCB"/>
    <w:rsid w:val="00E42EA6"/>
    <w:rsid w:val="00E45610"/>
    <w:rsid w:val="00E47386"/>
    <w:rsid w:val="00E47D9C"/>
    <w:rsid w:val="00E553FC"/>
    <w:rsid w:val="00E5657F"/>
    <w:rsid w:val="00E57F64"/>
    <w:rsid w:val="00E60E0C"/>
    <w:rsid w:val="00E61680"/>
    <w:rsid w:val="00E669D3"/>
    <w:rsid w:val="00E66EC7"/>
    <w:rsid w:val="00E70F67"/>
    <w:rsid w:val="00E72791"/>
    <w:rsid w:val="00E72A45"/>
    <w:rsid w:val="00E90311"/>
    <w:rsid w:val="00E91DFB"/>
    <w:rsid w:val="00E93C9B"/>
    <w:rsid w:val="00E97298"/>
    <w:rsid w:val="00E972B1"/>
    <w:rsid w:val="00EA0A1A"/>
    <w:rsid w:val="00EB1AEA"/>
    <w:rsid w:val="00EB426E"/>
    <w:rsid w:val="00EB4F32"/>
    <w:rsid w:val="00EB75A4"/>
    <w:rsid w:val="00EB767C"/>
    <w:rsid w:val="00EC1AD9"/>
    <w:rsid w:val="00EC3A48"/>
    <w:rsid w:val="00EC49D2"/>
    <w:rsid w:val="00EC7023"/>
    <w:rsid w:val="00EC757B"/>
    <w:rsid w:val="00ED1DC1"/>
    <w:rsid w:val="00ED2159"/>
    <w:rsid w:val="00ED52C6"/>
    <w:rsid w:val="00ED6568"/>
    <w:rsid w:val="00ED6931"/>
    <w:rsid w:val="00ED7A50"/>
    <w:rsid w:val="00EF3363"/>
    <w:rsid w:val="00EF37D5"/>
    <w:rsid w:val="00EF404A"/>
    <w:rsid w:val="00F0339B"/>
    <w:rsid w:val="00F04383"/>
    <w:rsid w:val="00F05D7C"/>
    <w:rsid w:val="00F066D0"/>
    <w:rsid w:val="00F14186"/>
    <w:rsid w:val="00F1579D"/>
    <w:rsid w:val="00F202C4"/>
    <w:rsid w:val="00F20E71"/>
    <w:rsid w:val="00F2243C"/>
    <w:rsid w:val="00F226F2"/>
    <w:rsid w:val="00F31887"/>
    <w:rsid w:val="00F362EA"/>
    <w:rsid w:val="00F3738B"/>
    <w:rsid w:val="00F3765D"/>
    <w:rsid w:val="00F40961"/>
    <w:rsid w:val="00F44F1B"/>
    <w:rsid w:val="00F53E24"/>
    <w:rsid w:val="00F56267"/>
    <w:rsid w:val="00F60BF8"/>
    <w:rsid w:val="00F62964"/>
    <w:rsid w:val="00F62F1D"/>
    <w:rsid w:val="00F638C0"/>
    <w:rsid w:val="00F64FAA"/>
    <w:rsid w:val="00F65DC5"/>
    <w:rsid w:val="00F66F31"/>
    <w:rsid w:val="00F702ED"/>
    <w:rsid w:val="00F72190"/>
    <w:rsid w:val="00F755BA"/>
    <w:rsid w:val="00F7792E"/>
    <w:rsid w:val="00F80A5B"/>
    <w:rsid w:val="00F82FDC"/>
    <w:rsid w:val="00F845EF"/>
    <w:rsid w:val="00F857BF"/>
    <w:rsid w:val="00F85D8E"/>
    <w:rsid w:val="00F86F07"/>
    <w:rsid w:val="00F91871"/>
    <w:rsid w:val="00F95F37"/>
    <w:rsid w:val="00FA4D9A"/>
    <w:rsid w:val="00FA77D9"/>
    <w:rsid w:val="00FB1271"/>
    <w:rsid w:val="00FB3D85"/>
    <w:rsid w:val="00FC7C4F"/>
    <w:rsid w:val="00FC7DE5"/>
    <w:rsid w:val="00FD030E"/>
    <w:rsid w:val="00FD2C90"/>
    <w:rsid w:val="00FD315B"/>
    <w:rsid w:val="00FD7731"/>
    <w:rsid w:val="00FD7AA5"/>
    <w:rsid w:val="00FE180C"/>
    <w:rsid w:val="00FE3616"/>
    <w:rsid w:val="00FE4242"/>
    <w:rsid w:val="00FE51C6"/>
    <w:rsid w:val="00FF2404"/>
    <w:rsid w:val="00FF37FE"/>
    <w:rsid w:val="00FF3F3F"/>
    <w:rsid w:val="00FF65BA"/>
  </w:rsids>
  <m:mathPr>
    <m:mathFont m:val="Cambria Math"/>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15:docId w15:val="{369355BC-A033-4390-88F0-BF5F06A2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0E"/>
    <w:pPr>
      <w:jc w:val="both"/>
    </w:pPr>
    <w:rPr>
      <w:rFonts w:eastAsia="MingLiU" w:asciiTheme="minorHAnsi" w:hAnsiTheme="minorHAnsi"/>
      <w:sz w:val="22"/>
      <w:szCs w:val="22"/>
    </w:rPr>
  </w:style>
  <w:style w:type="paragraph" w:styleId="Heading1">
    <w:name w:val="heading 1"/>
    <w:basedOn w:val="Normal"/>
    <w:next w:val="ssPara1"/>
    <w:link w:val="Heading1Char"/>
    <w:uiPriority w:val="19"/>
    <w:qFormat/>
    <w:rsid w:val="00337947"/>
    <w:pPr>
      <w:keepNext/>
      <w:keepLines/>
      <w:numPr>
        <w:ilvl w:val="1"/>
        <w:numId w:val="7"/>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337947"/>
    <w:pPr>
      <w:keepNext/>
      <w:keepLines/>
      <w:numPr>
        <w:ilvl w:val="2"/>
        <w:numId w:val="7"/>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337947"/>
    <w:pPr>
      <w:keepNext/>
      <w:keepLines/>
      <w:numPr>
        <w:ilvl w:val="3"/>
        <w:numId w:val="7"/>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337947"/>
    <w:pPr>
      <w:keepNext/>
      <w:keepLines/>
      <w:numPr>
        <w:ilvl w:val="4"/>
        <w:numId w:val="7"/>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337947"/>
    <w:pPr>
      <w:keepNext/>
      <w:keepLines/>
      <w:numPr>
        <w:ilvl w:val="5"/>
        <w:numId w:val="7"/>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337947"/>
    <w:pPr>
      <w:keepNext/>
      <w:keepLines/>
      <w:numPr>
        <w:ilvl w:val="6"/>
        <w:numId w:val="7"/>
      </w:numPr>
      <w:spacing w:after="260"/>
      <w:outlineLvl w:val="5"/>
    </w:pPr>
    <w:rPr>
      <w:rFonts w:asciiTheme="majorHAnsi" w:hAnsiTheme="majorHAnsi"/>
      <w:b/>
      <w:iCs/>
    </w:rPr>
  </w:style>
  <w:style w:type="paragraph" w:styleId="Heading7">
    <w:name w:val="heading 7"/>
    <w:basedOn w:val="Normal"/>
    <w:next w:val="Normal"/>
    <w:qFormat/>
    <w:pPr>
      <w:numPr>
        <w:ilvl w:val="7"/>
        <w:numId w:val="1"/>
      </w:numPr>
      <w:outlineLvl w:val="6"/>
    </w:pPr>
    <w:rPr>
      <w:szCs w:val="24"/>
    </w:rPr>
  </w:style>
  <w:style w:type="paragraph" w:styleId="Heading8">
    <w:name w:val="heading 8"/>
    <w:basedOn w:val="Normal"/>
    <w:next w:val="Normal"/>
    <w:qFormat/>
    <w:pPr>
      <w:numPr>
        <w:ilvl w:val="8"/>
        <w:numId w:val="1"/>
      </w:numPr>
      <w:outlineLvl w:val="7"/>
    </w:pPr>
    <w:rPr>
      <w:iCs/>
      <w:szCs w:val="24"/>
    </w:rPr>
  </w:style>
  <w:style w:type="paragraph" w:styleId="Heading9">
    <w:name w:val="heading 9"/>
    <w:basedOn w:val="Normal"/>
    <w:next w:val="Normal"/>
    <w:qFormat/>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ContactDetails">
    <w:name w:val="ssContactDetails"/>
    <w:basedOn w:val="Normal"/>
    <w:rsid w:val="00576C35"/>
    <w:pPr>
      <w:spacing w:line="260" w:lineRule="exact"/>
    </w:pPr>
    <w:rPr>
      <w:sz w:val="16"/>
      <w:szCs w:val="16"/>
      <w:lang w:eastAsia="ja-JP"/>
    </w:rPr>
  </w:style>
  <w:style w:type="table" w:styleId="TableGrid">
    <w:name w:val="Table Grid"/>
    <w:basedOn w:val="TableNormal"/>
    <w:rsid w:val="00337947"/>
    <w:rPr>
      <w:rFonts w:eastAsia="SimSun"/>
    </w:rPr>
    <w:tblPr/>
  </w:style>
  <w:style w:type="paragraph" w:customStyle="1" w:styleId="ssSpacingLine">
    <w:name w:val="ssSpacingLine"/>
    <w:basedOn w:val="Normal"/>
    <w:rsid w:val="00576C35"/>
    <w:pPr>
      <w:spacing w:line="260" w:lineRule="atLeast"/>
    </w:pPr>
    <w:rPr>
      <w:lang w:eastAsia="ja-JP"/>
    </w:rPr>
  </w:style>
  <w:style w:type="paragraph" w:styleId="Footer">
    <w:name w:val="footer"/>
    <w:basedOn w:val="Normal"/>
    <w:link w:val="FooterChar"/>
    <w:pPr>
      <w:tabs>
        <w:tab w:val="center" w:pos="4763"/>
        <w:tab w:val="right" w:pos="9497"/>
      </w:tabs>
      <w:spacing w:line="260" w:lineRule="atLeast"/>
    </w:pPr>
    <w:rPr>
      <w:sz w:val="12"/>
      <w:szCs w:val="20"/>
    </w:rPr>
  </w:style>
  <w:style w:type="character" w:styleId="PageNumber">
    <w:name w:val="page number"/>
    <w:rPr>
      <w:rFonts w:ascii="Arial" w:hAnsi="Arial"/>
      <w:sz w:val="20"/>
    </w:rPr>
  </w:style>
  <w:style w:type="paragraph" w:customStyle="1" w:styleId="ssUserEntry">
    <w:name w:val="ssUserEntry"/>
    <w:basedOn w:val="Normal"/>
    <w:rsid w:val="00576C35"/>
    <w:pPr>
      <w:spacing w:line="260" w:lineRule="exact"/>
    </w:pPr>
    <w:rPr>
      <w:lang w:eastAsia="ja-JP"/>
    </w:rPr>
  </w:style>
  <w:style w:type="character" w:customStyle="1" w:styleId="FooterChar">
    <w:name w:val="Footer Char"/>
    <w:link w:val="Footer"/>
    <w:rPr>
      <w:rFonts w:ascii="Arial" w:hAnsi="Arial"/>
      <w:sz w:val="12"/>
      <w:lang w:val="en-GB" w:eastAsia="zh-CN" w:bidi="ar-SA"/>
    </w:rPr>
  </w:style>
  <w:style w:type="paragraph" w:customStyle="1" w:styleId="ssLegendsUnderlined">
    <w:name w:val="ssLegendsUnderlined"/>
    <w:basedOn w:val="Normal"/>
    <w:rsid w:val="00576C35"/>
    <w:pPr>
      <w:spacing w:line="260" w:lineRule="exact"/>
      <w:jc w:val="right"/>
    </w:pPr>
    <w:rPr>
      <w:b/>
      <w:u w:val="single"/>
      <w:lang w:eastAsia="ja-JP"/>
    </w:rPr>
  </w:style>
  <w:style w:type="paragraph" w:customStyle="1" w:styleId="ssDocName">
    <w:name w:val="ssDocName"/>
    <w:basedOn w:val="Normal"/>
    <w:rsid w:val="00576C35"/>
    <w:pPr>
      <w:spacing w:before="120" w:after="800" w:line="260" w:lineRule="atLeast"/>
    </w:pPr>
    <w:rPr>
      <w:sz w:val="54"/>
      <w:szCs w:val="54"/>
    </w:rPr>
  </w:style>
  <w:style w:type="paragraph" w:customStyle="1" w:styleId="ssRole">
    <w:name w:val="ssRole"/>
    <w:basedOn w:val="Normal"/>
    <w:rsid w:val="007C3311"/>
    <w:pPr>
      <w:spacing w:line="260" w:lineRule="atLeast"/>
    </w:pPr>
    <w:rPr>
      <w:sz w:val="18"/>
      <w:szCs w:val="18"/>
    </w:rPr>
  </w:style>
  <w:style w:type="paragraph" w:customStyle="1" w:styleId="ssParty">
    <w:name w:val="ssParty"/>
    <w:basedOn w:val="Normal"/>
    <w:pPr>
      <w:spacing w:line="260" w:lineRule="atLeast"/>
    </w:pPr>
    <w:rPr>
      <w:sz w:val="28"/>
      <w:szCs w:val="28"/>
    </w:rPr>
  </w:style>
  <w:style w:type="paragraph" w:customStyle="1" w:styleId="ssContents">
    <w:name w:val="ssContents"/>
    <w:basedOn w:val="Normal"/>
    <w:rsid w:val="00CF2E86"/>
    <w:pPr>
      <w:spacing w:before="20"/>
      <w:jc w:val="center"/>
    </w:pPr>
    <w:rPr>
      <w:b/>
      <w:caps/>
    </w:rPr>
  </w:style>
  <w:style w:type="paragraph" w:customStyle="1" w:styleId="ssAgrTypeText">
    <w:name w:val="ssAgrTypeText"/>
    <w:basedOn w:val="ssUserEntry"/>
    <w:rsid w:val="00576C35"/>
    <w:rPr>
      <w:b/>
      <w:bCs/>
      <w:caps/>
      <w:u w:val="single"/>
    </w:rPr>
  </w:style>
  <w:style w:type="paragraph" w:customStyle="1" w:styleId="ssPara1">
    <w:name w:val="ssPara1"/>
    <w:basedOn w:val="Normal"/>
    <w:link w:val="ssPara1Char"/>
    <w:uiPriority w:val="34"/>
    <w:qFormat/>
    <w:rsid w:val="00337947"/>
    <w:pPr>
      <w:spacing w:after="260"/>
    </w:pPr>
  </w:style>
  <w:style w:type="paragraph" w:customStyle="1" w:styleId="ssPara2">
    <w:name w:val="ssPara2"/>
    <w:basedOn w:val="Normal"/>
    <w:uiPriority w:val="34"/>
    <w:qFormat/>
    <w:rsid w:val="00337947"/>
    <w:pPr>
      <w:spacing w:after="260"/>
      <w:ind w:left="709"/>
    </w:pPr>
  </w:style>
  <w:style w:type="paragraph" w:customStyle="1" w:styleId="ssPara3">
    <w:name w:val="ssPara3"/>
    <w:basedOn w:val="Normal"/>
    <w:uiPriority w:val="34"/>
    <w:qFormat/>
    <w:rsid w:val="00337947"/>
    <w:pPr>
      <w:spacing w:after="260"/>
      <w:ind w:left="1418"/>
    </w:pPr>
  </w:style>
  <w:style w:type="paragraph" w:customStyle="1" w:styleId="ssPara4">
    <w:name w:val="ssPara4"/>
    <w:basedOn w:val="Normal"/>
    <w:uiPriority w:val="34"/>
    <w:qFormat/>
    <w:rsid w:val="00337947"/>
    <w:pPr>
      <w:spacing w:after="260"/>
      <w:ind w:left="1985"/>
    </w:pPr>
  </w:style>
  <w:style w:type="paragraph" w:customStyle="1" w:styleId="ssPara5">
    <w:name w:val="ssPara5"/>
    <w:basedOn w:val="Normal"/>
    <w:uiPriority w:val="34"/>
    <w:qFormat/>
    <w:rsid w:val="00337947"/>
    <w:pPr>
      <w:spacing w:after="260"/>
      <w:ind w:left="2552"/>
    </w:pPr>
  </w:style>
  <w:style w:type="paragraph" w:customStyle="1" w:styleId="ssPara6">
    <w:name w:val="ssPara6"/>
    <w:basedOn w:val="Normal"/>
    <w:uiPriority w:val="34"/>
    <w:qFormat/>
    <w:rsid w:val="00337947"/>
    <w:pPr>
      <w:spacing w:after="260"/>
      <w:ind w:left="3119"/>
    </w:pPr>
  </w:style>
  <w:style w:type="paragraph" w:customStyle="1" w:styleId="ssNoHeading1">
    <w:name w:val="ssNoHeading1"/>
    <w:basedOn w:val="Heading1"/>
    <w:uiPriority w:val="29"/>
    <w:qFormat/>
    <w:rsid w:val="00E314EB"/>
    <w:pPr>
      <w:keepNext w:val="0"/>
      <w:keepLines w:val="0"/>
    </w:pPr>
    <w:rPr>
      <w:b w:val="0"/>
      <w:u w:val="none"/>
    </w:rPr>
  </w:style>
  <w:style w:type="paragraph" w:customStyle="1" w:styleId="ssNoHeading2">
    <w:name w:val="ssNoHeading2"/>
    <w:basedOn w:val="Heading2"/>
    <w:uiPriority w:val="29"/>
    <w:qFormat/>
    <w:rsid w:val="00C55228"/>
    <w:pPr>
      <w:keepNext w:val="0"/>
      <w:keepLines w:val="0"/>
    </w:pPr>
    <w:rPr>
      <w:b w:val="0"/>
    </w:rPr>
  </w:style>
  <w:style w:type="paragraph" w:customStyle="1" w:styleId="ssNoHeading3">
    <w:name w:val="ssNoHeading3"/>
    <w:basedOn w:val="Heading3"/>
    <w:uiPriority w:val="29"/>
    <w:qFormat/>
    <w:rsid w:val="00C55228"/>
    <w:pPr>
      <w:keepNext w:val="0"/>
      <w:keepLines w:val="0"/>
    </w:pPr>
    <w:rPr>
      <w:b w:val="0"/>
    </w:rPr>
  </w:style>
  <w:style w:type="paragraph" w:customStyle="1" w:styleId="ssNoHeading4">
    <w:name w:val="ssNoHeading4"/>
    <w:basedOn w:val="Heading4"/>
    <w:uiPriority w:val="29"/>
    <w:qFormat/>
    <w:rsid w:val="00C55228"/>
    <w:pPr>
      <w:keepNext w:val="0"/>
      <w:keepLines w:val="0"/>
    </w:pPr>
    <w:rPr>
      <w:b w:val="0"/>
    </w:rPr>
  </w:style>
  <w:style w:type="paragraph" w:customStyle="1" w:styleId="ssNoHeading5">
    <w:name w:val="ssNoHeading5"/>
    <w:basedOn w:val="Heading5"/>
    <w:uiPriority w:val="29"/>
    <w:qFormat/>
    <w:rsid w:val="00C55228"/>
    <w:pPr>
      <w:keepNext w:val="0"/>
      <w:keepLines w:val="0"/>
    </w:pPr>
    <w:rPr>
      <w:b w:val="0"/>
    </w:rPr>
  </w:style>
  <w:style w:type="paragraph" w:customStyle="1" w:styleId="ssNoHeading6">
    <w:name w:val="ssNoHeading6"/>
    <w:basedOn w:val="Heading6"/>
    <w:uiPriority w:val="29"/>
    <w:qFormat/>
    <w:rsid w:val="00C55228"/>
    <w:pPr>
      <w:keepNext w:val="0"/>
      <w:keepLines w:val="0"/>
    </w:pPr>
    <w:rPr>
      <w:b w:val="0"/>
    </w:rPr>
  </w:style>
  <w:style w:type="paragraph" w:customStyle="1" w:styleId="ssRestartNumber">
    <w:name w:val="ssRestartNumber"/>
    <w:basedOn w:val="Normal"/>
    <w:next w:val="ssPara1"/>
    <w:uiPriority w:val="38"/>
    <w:rsid w:val="00337947"/>
    <w:pPr>
      <w:numPr>
        <w:numId w:val="7"/>
      </w:numPr>
    </w:pPr>
    <w:rPr>
      <w:color w:val="FF0000"/>
    </w:rPr>
  </w:style>
  <w:style w:type="paragraph" w:customStyle="1" w:styleId="ssqPart">
    <w:name w:val="ssqPart"/>
    <w:basedOn w:val="ssPara1"/>
    <w:next w:val="ssPara1"/>
    <w:uiPriority w:val="43"/>
    <w:qFormat/>
    <w:rsid w:val="00504B47"/>
    <w:pPr>
      <w:numPr>
        <w:ilvl w:val="1"/>
        <w:numId w:val="10"/>
      </w:numPr>
      <w:jc w:val="center"/>
    </w:pPr>
    <w:rPr>
      <w:rFonts w:asciiTheme="majorHAnsi" w:hAnsiTheme="majorHAnsi" w:cstheme="minorBidi"/>
      <w:b/>
      <w:caps/>
      <w:lang w:eastAsia="en-US"/>
    </w:rPr>
  </w:style>
  <w:style w:type="paragraph" w:customStyle="1" w:styleId="ssRestartPart">
    <w:name w:val="ssRestartPart"/>
    <w:basedOn w:val="Normal"/>
    <w:next w:val="ssPara1"/>
    <w:uiPriority w:val="44"/>
    <w:rsid w:val="00504B47"/>
    <w:pPr>
      <w:numPr>
        <w:numId w:val="10"/>
      </w:numPr>
    </w:pPr>
    <w:rPr>
      <w:rFonts w:eastAsiaTheme="minorHAnsi" w:cstheme="minorBidi"/>
      <w:color w:val="FF0000"/>
      <w:lang w:eastAsia="en-US"/>
    </w:rPr>
  </w:style>
  <w:style w:type="paragraph" w:customStyle="1" w:styleId="ssRestartSchedule">
    <w:name w:val="ssRestartSchedule"/>
    <w:basedOn w:val="Normal"/>
    <w:next w:val="ssPara1"/>
    <w:uiPriority w:val="46"/>
    <w:rsid w:val="00504B47"/>
    <w:pPr>
      <w:numPr>
        <w:numId w:val="11"/>
      </w:numPr>
    </w:pPr>
    <w:rPr>
      <w:rFonts w:eastAsiaTheme="minorHAnsi" w:cstheme="minorBidi"/>
      <w:color w:val="FF0000"/>
      <w:lang w:eastAsia="en-US"/>
    </w:rPr>
  </w:style>
  <w:style w:type="paragraph" w:customStyle="1" w:styleId="ssqSchedule">
    <w:name w:val="ssqSchedule"/>
    <w:basedOn w:val="ssPara1"/>
    <w:next w:val="ssPara1"/>
    <w:uiPriority w:val="45"/>
    <w:qFormat/>
    <w:rsid w:val="00504B47"/>
    <w:pPr>
      <w:pageBreakBefore/>
      <w:numPr>
        <w:ilvl w:val="1"/>
        <w:numId w:val="1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D80131"/>
    <w:pPr>
      <w:pageBreakBefore/>
      <w:numPr>
        <w:ilvl w:val="1"/>
        <w:numId w:val="9"/>
      </w:numPr>
      <w:jc w:val="center"/>
    </w:pPr>
    <w:rPr>
      <w:rFonts w:asciiTheme="majorHAnsi" w:hAnsiTheme="majorHAnsi" w:cstheme="minorBidi"/>
      <w:b/>
      <w:caps/>
      <w:lang w:eastAsia="en-US"/>
    </w:rPr>
  </w:style>
  <w:style w:type="paragraph" w:customStyle="1" w:styleId="ssRestartExhibit">
    <w:name w:val="ssRestartExhibit"/>
    <w:basedOn w:val="Normal"/>
    <w:next w:val="ssPara1"/>
    <w:uiPriority w:val="42"/>
    <w:rsid w:val="00504B47"/>
    <w:pPr>
      <w:numPr>
        <w:numId w:val="9"/>
      </w:numPr>
    </w:pPr>
    <w:rPr>
      <w:rFonts w:eastAsiaTheme="minorHAnsi" w:cstheme="minorBidi"/>
      <w:color w:val="FF0000"/>
      <w:lang w:eastAsia="en-US"/>
    </w:rPr>
  </w:style>
  <w:style w:type="paragraph" w:customStyle="1" w:styleId="ssqToCAdd">
    <w:name w:val="ssqToCAdd"/>
    <w:basedOn w:val="ssPara1"/>
    <w:next w:val="ssPara1"/>
    <w:uiPriority w:val="49"/>
    <w:qFormat/>
    <w:rsid w:val="00C55228"/>
  </w:style>
  <w:style w:type="paragraph" w:customStyle="1" w:styleId="ssqAppendix">
    <w:name w:val="ssqAppendix"/>
    <w:basedOn w:val="ssPara1"/>
    <w:next w:val="ssPara1"/>
    <w:uiPriority w:val="39"/>
    <w:qFormat/>
    <w:rsid w:val="00504B47"/>
    <w:pPr>
      <w:pageBreakBefore/>
      <w:numPr>
        <w:ilvl w:val="1"/>
        <w:numId w:val="8"/>
      </w:numPr>
      <w:jc w:val="center"/>
    </w:pPr>
    <w:rPr>
      <w:rFonts w:asciiTheme="majorHAnsi" w:hAnsiTheme="majorHAnsi" w:cstheme="minorBidi"/>
      <w:b/>
      <w:caps/>
      <w:lang w:eastAsia="en-US"/>
    </w:rPr>
  </w:style>
  <w:style w:type="paragraph" w:customStyle="1" w:styleId="ssRestartAppendix">
    <w:name w:val="ssRestartAppendix"/>
    <w:basedOn w:val="Normal"/>
    <w:next w:val="ssPara1"/>
    <w:uiPriority w:val="40"/>
    <w:rsid w:val="00504B47"/>
    <w:pPr>
      <w:numPr>
        <w:numId w:val="8"/>
      </w:numPr>
    </w:pPr>
    <w:rPr>
      <w:rFonts w:eastAsiaTheme="minorHAnsi" w:cstheme="minorBidi"/>
      <w:color w:val="FF0000"/>
      <w:lang w:eastAsia="en-US"/>
    </w:rPr>
  </w:style>
  <w:style w:type="paragraph" w:styleId="TOC1">
    <w:name w:val="toc 1"/>
    <w:basedOn w:val="Normal"/>
    <w:next w:val="Normal"/>
    <w:autoRedefine/>
    <w:uiPriority w:val="39"/>
    <w:rsid w:val="00971C9A"/>
    <w:pPr>
      <w:tabs>
        <w:tab w:val="right" w:leader="dot" w:pos="9497"/>
      </w:tabs>
      <w:spacing w:before="260"/>
      <w:ind w:left="709" w:right="595" w:hanging="709"/>
    </w:pPr>
    <w:rPr>
      <w:rFonts w:eastAsia="Times New Roman"/>
    </w:rPr>
  </w:style>
  <w:style w:type="paragraph" w:styleId="TOC2">
    <w:name w:val="toc 2"/>
    <w:basedOn w:val="Normal"/>
    <w:next w:val="Normal"/>
    <w:autoRedefine/>
    <w:semiHidden/>
    <w:rsid w:val="00971C9A"/>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971C9A"/>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971C9A"/>
    <w:pPr>
      <w:tabs>
        <w:tab w:val="right" w:leader="dot" w:pos="9497"/>
      </w:tabs>
      <w:spacing w:before="260"/>
      <w:ind w:left="2694" w:right="595" w:hanging="709"/>
    </w:pPr>
    <w:rPr>
      <w:rFonts w:eastAsia="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uiPriority w:val="19"/>
    <w:rsid w:val="00337947"/>
    <w:rPr>
      <w:rFonts w:eastAsia="MingLiU" w:asciiTheme="majorHAnsi" w:hAnsiTheme="majorHAnsi"/>
      <w:b/>
      <w:bCs/>
      <w:kern w:val="32"/>
      <w:sz w:val="22"/>
      <w:szCs w:val="28"/>
      <w:u w:val="single"/>
    </w:rPr>
  </w:style>
  <w:style w:type="character" w:customStyle="1" w:styleId="Heading2Char">
    <w:name w:val="Heading 2 Char"/>
    <w:link w:val="Heading2"/>
    <w:uiPriority w:val="19"/>
    <w:rsid w:val="00337947"/>
    <w:rPr>
      <w:rFonts w:eastAsia="MingLiU" w:asciiTheme="majorHAnsi" w:hAnsiTheme="majorHAnsi"/>
      <w:b/>
      <w:bCs/>
      <w:sz w:val="22"/>
      <w:szCs w:val="26"/>
    </w:rPr>
  </w:style>
  <w:style w:type="character" w:customStyle="1" w:styleId="Heading3Char">
    <w:name w:val="Heading 3 Char"/>
    <w:link w:val="Heading3"/>
    <w:uiPriority w:val="19"/>
    <w:rsid w:val="00337947"/>
    <w:rPr>
      <w:rFonts w:eastAsia="MingLiU" w:asciiTheme="majorHAnsi" w:hAnsiTheme="majorHAnsi"/>
      <w:b/>
      <w:bCs/>
      <w:sz w:val="22"/>
      <w:szCs w:val="22"/>
    </w:rPr>
  </w:style>
  <w:style w:type="character" w:customStyle="1" w:styleId="Heading4Char">
    <w:name w:val="Heading 4 Char"/>
    <w:link w:val="Heading4"/>
    <w:uiPriority w:val="19"/>
    <w:rsid w:val="00337947"/>
    <w:rPr>
      <w:rFonts w:eastAsia="MingLiU" w:asciiTheme="majorHAnsi" w:hAnsiTheme="majorHAnsi"/>
      <w:b/>
      <w:bCs/>
      <w:iCs/>
      <w:sz w:val="22"/>
      <w:szCs w:val="22"/>
    </w:rPr>
  </w:style>
  <w:style w:type="character" w:customStyle="1" w:styleId="Heading5Char">
    <w:name w:val="Heading 5 Char"/>
    <w:link w:val="Heading5"/>
    <w:uiPriority w:val="19"/>
    <w:rsid w:val="00337947"/>
    <w:rPr>
      <w:rFonts w:eastAsia="MingLiU" w:asciiTheme="majorHAnsi" w:hAnsiTheme="majorHAnsi"/>
      <w:b/>
      <w:sz w:val="22"/>
      <w:szCs w:val="22"/>
    </w:rPr>
  </w:style>
  <w:style w:type="character" w:customStyle="1" w:styleId="Heading6Char">
    <w:name w:val="Heading 6 Char"/>
    <w:link w:val="Heading6"/>
    <w:uiPriority w:val="19"/>
    <w:rsid w:val="00337947"/>
    <w:rPr>
      <w:rFonts w:eastAsia="MingLiU" w:asciiTheme="majorHAnsi" w:hAnsiTheme="majorHAnsi"/>
      <w:b/>
      <w:iCs/>
      <w:sz w:val="22"/>
      <w:szCs w:val="22"/>
    </w:rPr>
  </w:style>
  <w:style w:type="numbering" w:customStyle="1" w:styleId="ListHeadings">
    <w:name w:val="List Headings"/>
    <w:uiPriority w:val="99"/>
    <w:rsid w:val="00337947"/>
    <w:pPr>
      <w:numPr>
        <w:numId w:val="4"/>
      </w:numPr>
    </w:pPr>
  </w:style>
  <w:style w:type="paragraph" w:styleId="Header">
    <w:name w:val="header"/>
    <w:basedOn w:val="Normal"/>
    <w:link w:val="HeaderChar"/>
    <w:rsid w:val="00A47C10"/>
    <w:pPr>
      <w:tabs>
        <w:tab w:val="center" w:pos="4513"/>
        <w:tab w:val="right" w:pos="9026"/>
      </w:tabs>
    </w:pPr>
    <w:rPr>
      <w:sz w:val="16"/>
    </w:rPr>
  </w:style>
  <w:style w:type="character" w:customStyle="1" w:styleId="HeaderChar">
    <w:name w:val="Header Char"/>
    <w:basedOn w:val="DefaultParagraphFont"/>
    <w:link w:val="Header"/>
    <w:rsid w:val="00A47C10"/>
    <w:rPr>
      <w:rFonts w:eastAsia="MingLiU" w:asciiTheme="minorHAnsi" w:hAnsiTheme="minorHAnsi"/>
      <w:sz w:val="16"/>
      <w:szCs w:val="22"/>
    </w:rPr>
  </w:style>
  <w:style w:type="numbering" w:customStyle="1" w:styleId="AppendixNumbering">
    <w:name w:val="Appendix Numbering"/>
    <w:uiPriority w:val="99"/>
    <w:rsid w:val="00504B47"/>
    <w:pPr>
      <w:numPr>
        <w:numId w:val="2"/>
      </w:numPr>
    </w:pPr>
  </w:style>
  <w:style w:type="numbering" w:customStyle="1" w:styleId="ExhibitNumbering">
    <w:name w:val="Exhibit Numbering"/>
    <w:uiPriority w:val="99"/>
    <w:rsid w:val="00504B47"/>
    <w:pPr>
      <w:numPr>
        <w:numId w:val="3"/>
      </w:numPr>
    </w:pPr>
  </w:style>
  <w:style w:type="numbering" w:customStyle="1" w:styleId="PartNumbering">
    <w:name w:val="Part Numbering"/>
    <w:uiPriority w:val="99"/>
    <w:rsid w:val="00504B47"/>
    <w:pPr>
      <w:numPr>
        <w:numId w:val="5"/>
      </w:numPr>
    </w:pPr>
  </w:style>
  <w:style w:type="numbering" w:customStyle="1" w:styleId="ScheduleNumbering">
    <w:name w:val="Schedule Numbering"/>
    <w:uiPriority w:val="99"/>
    <w:rsid w:val="00504B47"/>
    <w:pPr>
      <w:numPr>
        <w:numId w:val="6"/>
      </w:numPr>
    </w:pPr>
  </w:style>
  <w:style w:type="paragraph" w:styleId="Index1">
    <w:name w:val="index 1"/>
    <w:basedOn w:val="Normal"/>
    <w:next w:val="Normal"/>
    <w:autoRedefine/>
    <w:rsid w:val="00337947"/>
    <w:pPr>
      <w:spacing w:after="120"/>
      <w:ind w:left="221" w:hanging="221"/>
    </w:pPr>
  </w:style>
  <w:style w:type="paragraph" w:styleId="Index2">
    <w:name w:val="index 2"/>
    <w:basedOn w:val="Normal"/>
    <w:next w:val="Normal"/>
    <w:autoRedefine/>
    <w:rsid w:val="00337947"/>
    <w:pPr>
      <w:spacing w:after="120"/>
      <w:ind w:left="442" w:hanging="221"/>
    </w:pPr>
  </w:style>
  <w:style w:type="paragraph" w:styleId="Index3">
    <w:name w:val="index 3"/>
    <w:basedOn w:val="Normal"/>
    <w:next w:val="Normal"/>
    <w:autoRedefine/>
    <w:rsid w:val="00337947"/>
    <w:pPr>
      <w:spacing w:after="120"/>
      <w:ind w:left="663" w:hanging="221"/>
    </w:pPr>
  </w:style>
  <w:style w:type="paragraph" w:styleId="Index4">
    <w:name w:val="index 4"/>
    <w:basedOn w:val="Normal"/>
    <w:next w:val="Normal"/>
    <w:autoRedefine/>
    <w:rsid w:val="00337947"/>
    <w:pPr>
      <w:spacing w:after="120"/>
      <w:ind w:left="879" w:hanging="221"/>
    </w:pPr>
  </w:style>
  <w:style w:type="paragraph" w:styleId="Index5">
    <w:name w:val="index 5"/>
    <w:basedOn w:val="Normal"/>
    <w:next w:val="Normal"/>
    <w:autoRedefine/>
    <w:rsid w:val="00337947"/>
    <w:pPr>
      <w:spacing w:after="120"/>
      <w:ind w:left="1100" w:hanging="221"/>
    </w:pPr>
  </w:style>
  <w:style w:type="paragraph" w:styleId="Index6">
    <w:name w:val="index 6"/>
    <w:basedOn w:val="Normal"/>
    <w:next w:val="Normal"/>
    <w:autoRedefine/>
    <w:rsid w:val="00337947"/>
    <w:pPr>
      <w:spacing w:after="120"/>
      <w:ind w:left="1321" w:hanging="221"/>
    </w:pPr>
  </w:style>
  <w:style w:type="paragraph" w:styleId="Index7">
    <w:name w:val="index 7"/>
    <w:basedOn w:val="Normal"/>
    <w:next w:val="Normal"/>
    <w:autoRedefine/>
    <w:rsid w:val="00337947"/>
    <w:pPr>
      <w:spacing w:after="120"/>
      <w:ind w:left="1542" w:hanging="221"/>
    </w:pPr>
  </w:style>
  <w:style w:type="paragraph" w:styleId="Index8">
    <w:name w:val="index 8"/>
    <w:basedOn w:val="Normal"/>
    <w:next w:val="Normal"/>
    <w:autoRedefine/>
    <w:rsid w:val="00337947"/>
    <w:pPr>
      <w:spacing w:after="120"/>
      <w:ind w:left="1763" w:hanging="221"/>
    </w:pPr>
  </w:style>
  <w:style w:type="paragraph" w:styleId="Index9">
    <w:name w:val="index 9"/>
    <w:basedOn w:val="Normal"/>
    <w:next w:val="Normal"/>
    <w:autoRedefine/>
    <w:rsid w:val="00337947"/>
    <w:pPr>
      <w:spacing w:after="120"/>
      <w:ind w:left="1979" w:hanging="221"/>
    </w:pPr>
  </w:style>
  <w:style w:type="paragraph" w:styleId="IndexHeading">
    <w:name w:val="index heading"/>
    <w:basedOn w:val="Normal"/>
    <w:next w:val="Index1"/>
    <w:rsid w:val="00337947"/>
    <w:pPr>
      <w:jc w:val="left"/>
    </w:pPr>
    <w:rPr>
      <w:rFonts w:asciiTheme="majorHAnsi" w:eastAsiaTheme="majorEastAsia" w:hAnsiTheme="majorHAnsi" w:cstheme="majorBidi"/>
      <w:b/>
      <w:bCs/>
    </w:rPr>
  </w:style>
  <w:style w:type="paragraph" w:customStyle="1" w:styleId="ssAsiaLogo">
    <w:name w:val="ssAsiaLogo"/>
    <w:basedOn w:val="Normal"/>
    <w:qFormat/>
    <w:rsid w:val="00212490"/>
    <w:pPr>
      <w:spacing w:line="260" w:lineRule="atLeast"/>
    </w:pPr>
    <w:rPr>
      <w:rFonts w:eastAsia="DFKai-SB" w:cstheme="minorBidi"/>
      <w:sz w:val="30"/>
      <w:szCs w:val="40"/>
      <w:lang w:eastAsia="en-US"/>
    </w:rPr>
  </w:style>
  <w:style w:type="paragraph" w:customStyle="1" w:styleId="ssqSection">
    <w:name w:val="ssqSection"/>
    <w:basedOn w:val="ssPara1"/>
    <w:next w:val="ssPara1"/>
    <w:uiPriority w:val="45"/>
    <w:qFormat/>
    <w:rsid w:val="00A053A6"/>
    <w:pPr>
      <w:numPr>
        <w:ilvl w:val="1"/>
        <w:numId w:val="12"/>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A053A6"/>
    <w:pPr>
      <w:numPr>
        <w:numId w:val="12"/>
      </w:numPr>
    </w:pPr>
    <w:rPr>
      <w:rFonts w:eastAsiaTheme="minorHAnsi" w:cstheme="minorBidi"/>
      <w:color w:val="FF0000"/>
      <w:lang w:eastAsia="en-US"/>
    </w:rPr>
  </w:style>
  <w:style w:type="numbering" w:customStyle="1" w:styleId="SectionNumbering">
    <w:name w:val="Section Numbering"/>
    <w:uiPriority w:val="99"/>
    <w:rsid w:val="00A053A6"/>
    <w:pPr>
      <w:numPr>
        <w:numId w:val="12"/>
      </w:numPr>
    </w:pPr>
  </w:style>
  <w:style w:type="paragraph" w:customStyle="1" w:styleId="ssUserEntryNumbered">
    <w:name w:val="ssUserEntryNumbered"/>
    <w:basedOn w:val="ssUserEntry"/>
    <w:qFormat/>
    <w:rsid w:val="007B4853"/>
    <w:pPr>
      <w:numPr>
        <w:numId w:val="13"/>
      </w:numPr>
      <w:tabs>
        <w:tab w:val="clear" w:pos="851"/>
        <w:tab w:val="num" w:pos="926"/>
      </w:tabs>
      <w:ind w:left="926" w:hanging="360"/>
    </w:pPr>
  </w:style>
  <w:style w:type="paragraph" w:customStyle="1" w:styleId="ssUserEntryLettered">
    <w:name w:val="ssUserEntryLettered"/>
    <w:basedOn w:val="ssUserEntry"/>
    <w:qFormat/>
    <w:rsid w:val="002F2C37"/>
    <w:pPr>
      <w:numPr>
        <w:numId w:val="14"/>
      </w:numPr>
    </w:pPr>
  </w:style>
  <w:style w:type="paragraph" w:customStyle="1" w:styleId="CoverPageConjunctive">
    <w:name w:val="Cover Page Conjunctive"/>
    <w:basedOn w:val="ssRole"/>
    <w:next w:val="ssParty"/>
    <w:qFormat/>
    <w:rsid w:val="001A2AF4"/>
    <w:rPr>
      <w:sz w:val="22"/>
    </w:rPr>
  </w:style>
  <w:style w:type="paragraph" w:customStyle="1" w:styleId="ParticularsPartyInfo">
    <w:name w:val="Particulars Party Info"/>
    <w:basedOn w:val="Normal"/>
    <w:qFormat/>
    <w:rsid w:val="001D47BA"/>
    <w:pPr>
      <w:spacing w:after="260"/>
    </w:pPr>
  </w:style>
  <w:style w:type="paragraph" w:customStyle="1" w:styleId="ParticularsPartyName">
    <w:name w:val="Particulars Party Name"/>
    <w:basedOn w:val="ParticularsPartyInfo"/>
    <w:qFormat/>
    <w:rsid w:val="001D47BA"/>
    <w:rPr>
      <w:b/>
      <w:caps/>
      <w:u w:val="single"/>
    </w:rPr>
  </w:style>
  <w:style w:type="paragraph" w:styleId="FootnoteText">
    <w:name w:val="footnote text"/>
    <w:basedOn w:val="Normal"/>
    <w:link w:val="FootnoteTextChar"/>
    <w:uiPriority w:val="99"/>
    <w:unhideWhenUsed/>
    <w:rsid w:val="006965F9"/>
    <w:rPr>
      <w:rFonts w:eastAsia="Times New Roman"/>
      <w:sz w:val="20"/>
      <w:szCs w:val="20"/>
    </w:rPr>
  </w:style>
  <w:style w:type="character" w:customStyle="1" w:styleId="FootnoteTextChar">
    <w:name w:val="Footnote Text Char"/>
    <w:basedOn w:val="DefaultParagraphFont"/>
    <w:link w:val="FootnoteText"/>
    <w:uiPriority w:val="99"/>
    <w:rsid w:val="006965F9"/>
    <w:rPr>
      <w:rFonts w:asciiTheme="minorHAnsi" w:hAnsiTheme="minorHAnsi"/>
    </w:rPr>
  </w:style>
  <w:style w:type="character" w:styleId="FootnoteReference">
    <w:name w:val="footnote reference"/>
    <w:basedOn w:val="DefaultParagraphFont"/>
    <w:uiPriority w:val="99"/>
    <w:semiHidden/>
    <w:rsid w:val="006965F9"/>
    <w:rPr>
      <w:vertAlign w:val="superscript"/>
    </w:rPr>
  </w:style>
  <w:style w:type="paragraph" w:styleId="ListNumber2">
    <w:name w:val="List Number 2"/>
    <w:basedOn w:val="Normal"/>
    <w:uiPriority w:val="99"/>
    <w:semiHidden/>
    <w:rsid w:val="00085F84"/>
    <w:pPr>
      <w:tabs>
        <w:tab w:val="num" w:pos="643"/>
      </w:tabs>
      <w:ind w:left="643" w:hanging="360"/>
      <w:contextualSpacing/>
    </w:pPr>
    <w:rPr>
      <w:rFonts w:eastAsia="Times New Roman"/>
    </w:rPr>
  </w:style>
  <w:style w:type="character" w:styleId="Hyperlink">
    <w:name w:val="Hyperlink"/>
    <w:basedOn w:val="DefaultParagraphFont"/>
    <w:uiPriority w:val="99"/>
    <w:unhideWhenUsed/>
    <w:rsid w:val="008A545F"/>
    <w:rPr>
      <w:color w:val="0000FF" w:themeColor="hyperlink"/>
      <w:u w:val="single"/>
    </w:rPr>
  </w:style>
  <w:style w:type="character" w:customStyle="1" w:styleId="UnresolvedMention">
    <w:name w:val="Unresolved Mention"/>
    <w:basedOn w:val="DefaultParagraphFont"/>
    <w:uiPriority w:val="99"/>
    <w:semiHidden/>
    <w:unhideWhenUsed/>
    <w:rsid w:val="008A545F"/>
    <w:rPr>
      <w:color w:val="605E5C"/>
      <w:shd w:val="clear" w:color="auto" w:fill="E1DFDD"/>
    </w:rPr>
  </w:style>
  <w:style w:type="table" w:styleId="GridTableLight">
    <w:name w:val="Grid Table Light"/>
    <w:basedOn w:val="TableNormal"/>
    <w:uiPriority w:val="40"/>
    <w:rsid w:val="00695A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aliases w:val="BODY TEXT,BT,Bio Body Text,Body Test,Body Text x,Body Text_Single,Body text,BodyIndentFirstLine1&quot;,Bold Heading,TABLE TEXT,b,b1,b10pt,body text,bt,by,contents,indent .5,newBody,para: Body"/>
    <w:basedOn w:val="Normal"/>
    <w:link w:val="BodyTextChar"/>
    <w:uiPriority w:val="11"/>
    <w:qFormat/>
    <w:rsid w:val="00695A16"/>
    <w:pPr>
      <w:spacing w:before="120" w:after="120"/>
    </w:pPr>
    <w:rPr>
      <w:rFonts w:ascii="Arial" w:eastAsia="Calibri" w:hAnsi="Arial"/>
      <w:sz w:val="21"/>
      <w:szCs w:val="21"/>
    </w:rPr>
  </w:style>
  <w:style w:type="character" w:customStyle="1" w:styleId="BodyTextChar">
    <w:name w:val="Body Text Char"/>
    <w:aliases w:val="BODY TEXT Char,BT Char,Body Test Char,Body Text x Char,Body text Char,BodyIndentFirstLine1&quot; Char,Bold Heading Char,TABLE TEXT Char,b Char,b1 Char,b10pt Char,body text Char,bt Char,by Char,indent .5 Char,newBody Char,para: Body Char"/>
    <w:basedOn w:val="DefaultParagraphFont"/>
    <w:link w:val="BodyText"/>
    <w:uiPriority w:val="11"/>
    <w:rsid w:val="00695A16"/>
    <w:rPr>
      <w:rFonts w:eastAsia="Calibri"/>
      <w:sz w:val="21"/>
      <w:szCs w:val="21"/>
    </w:rPr>
  </w:style>
  <w:style w:type="character" w:customStyle="1" w:styleId="ssPara1Char">
    <w:name w:val="ssPara1 Char"/>
    <w:link w:val="ssPara1"/>
    <w:uiPriority w:val="34"/>
    <w:locked/>
    <w:rsid w:val="00695A16"/>
    <w:rPr>
      <w:rFonts w:eastAsia="MingLiU" w:asciiTheme="minorHAnsi" w:hAnsiTheme="minorHAnsi"/>
      <w:sz w:val="22"/>
      <w:szCs w:val="22"/>
    </w:rPr>
  </w:style>
  <w:style w:type="character" w:styleId="CommentReference">
    <w:name w:val="annotation reference"/>
    <w:rsid w:val="00695A16"/>
    <w:rPr>
      <w:sz w:val="16"/>
      <w:szCs w:val="16"/>
    </w:rPr>
  </w:style>
  <w:style w:type="paragraph" w:styleId="CommentText">
    <w:name w:val="annotation text"/>
    <w:basedOn w:val="Normal"/>
    <w:link w:val="CommentTextChar"/>
    <w:rsid w:val="00695A16"/>
    <w:pPr>
      <w:spacing w:before="240" w:after="120"/>
    </w:pPr>
    <w:rPr>
      <w:rFonts w:ascii="Arial" w:eastAsia="Calibri" w:hAnsi="Arial"/>
      <w:sz w:val="20"/>
      <w:szCs w:val="20"/>
    </w:rPr>
  </w:style>
  <w:style w:type="character" w:customStyle="1" w:styleId="CommentTextChar">
    <w:name w:val="Comment Text Char"/>
    <w:basedOn w:val="DefaultParagraphFont"/>
    <w:link w:val="CommentText"/>
    <w:rsid w:val="00695A16"/>
    <w:rPr>
      <w:rFonts w:eastAsia="Calibri"/>
    </w:rPr>
  </w:style>
  <w:style w:type="character" w:styleId="FollowedHyperlink">
    <w:name w:val="FollowedHyperlink"/>
    <w:basedOn w:val="DefaultParagraphFont"/>
    <w:semiHidden/>
    <w:unhideWhenUsed/>
    <w:rsid w:val="00AF04C5"/>
    <w:rPr>
      <w:color w:val="800080" w:themeColor="followedHyperlink"/>
      <w:u w:val="single"/>
    </w:rPr>
  </w:style>
  <w:style w:type="paragraph" w:customStyle="1" w:styleId="Default">
    <w:name w:val="Default"/>
    <w:rsid w:val="003F0EF6"/>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semiHidden/>
    <w:unhideWhenUsed/>
    <w:rsid w:val="00E60E0C"/>
    <w:pPr>
      <w:spacing w:before="0" w:after="0"/>
    </w:pPr>
    <w:rPr>
      <w:rFonts w:eastAsia="MingLiU" w:asciiTheme="minorHAnsi" w:hAnsiTheme="minorHAnsi"/>
      <w:b/>
      <w:bCs/>
    </w:rPr>
  </w:style>
  <w:style w:type="character" w:customStyle="1" w:styleId="CommentSubjectChar">
    <w:name w:val="Comment Subject Char"/>
    <w:basedOn w:val="CommentTextChar"/>
    <w:link w:val="CommentSubject"/>
    <w:semiHidden/>
    <w:rsid w:val="00E60E0C"/>
    <w:rPr>
      <w:rFonts w:eastAsia="MingLiU" w:asciiTheme="minorHAnsi" w:hAnsiTheme="minorHAnsi"/>
      <w:b/>
      <w:bCs/>
    </w:rPr>
  </w:style>
  <w:style w:type="paragraph" w:styleId="ListParagraph">
    <w:name w:val="List Paragraph"/>
    <w:basedOn w:val="Normal"/>
    <w:uiPriority w:val="34"/>
    <w:qFormat/>
    <w:rsid w:val="00161789"/>
    <w:pPr>
      <w:ind w:left="720"/>
      <w:contextualSpacing/>
    </w:pPr>
  </w:style>
  <w:style w:type="paragraph" w:customStyle="1" w:styleId="Paragraph1">
    <w:name w:val="Paragraph 1"/>
    <w:basedOn w:val="Normal"/>
    <w:link w:val="Paragraph1Char"/>
    <w:qFormat/>
    <w:rsid w:val="008E5C70"/>
    <w:pPr>
      <w:spacing w:after="240"/>
      <w:ind w:left="964"/>
    </w:pPr>
    <w:rPr>
      <w:rFonts w:ascii="Arial" w:eastAsia="Times New Roman" w:hAnsi="Arial" w:cs="Arial"/>
      <w:color w:val="000000"/>
      <w:lang w:val="en-IE" w:eastAsia="en-US"/>
    </w:rPr>
  </w:style>
  <w:style w:type="character" w:customStyle="1" w:styleId="Paragraph1Char">
    <w:name w:val="Paragraph 1 Char"/>
    <w:basedOn w:val="DefaultParagraphFont"/>
    <w:link w:val="Paragraph1"/>
    <w:rsid w:val="008E5C70"/>
    <w:rPr>
      <w:rFonts w:cs="Arial"/>
      <w:color w:val="000000"/>
      <w:sz w:val="22"/>
      <w:szCs w:val="22"/>
      <w:lang w:val="en-IE" w:eastAsia="en-US"/>
    </w:rPr>
  </w:style>
  <w:style w:type="paragraph" w:customStyle="1" w:styleId="ParagraphN4">
    <w:name w:val="Paragraph N4"/>
    <w:basedOn w:val="Heading5"/>
    <w:qFormat/>
    <w:rsid w:val="008E5C70"/>
    <w:pPr>
      <w:keepLines w:val="0"/>
      <w:numPr>
        <w:ilvl w:val="0"/>
        <w:numId w:val="15"/>
      </w:numPr>
      <w:spacing w:before="200" w:after="240"/>
    </w:pPr>
    <w:rPr>
      <w:rFonts w:ascii="Arial" w:hAnsi="Arial" w:eastAsiaTheme="majorEastAsia" w:cstheme="majorBidi"/>
      <w:b w:val="0"/>
      <w:bCs/>
      <w:lang w:val="en-IE" w:eastAsia="en-US"/>
    </w:rPr>
  </w:style>
  <w:style w:type="paragraph" w:styleId="ListBullet5">
    <w:name w:val="List Bullet 5"/>
    <w:basedOn w:val="Normal"/>
    <w:uiPriority w:val="99"/>
    <w:semiHidden/>
    <w:rsid w:val="00217C81"/>
    <w:pPr>
      <w:numPr>
        <w:numId w:val="20"/>
      </w:numPr>
      <w:contextualSpacing/>
    </w:pPr>
    <w:rPr>
      <w:rFonts w:eastAsia="Times New Roman"/>
    </w:rPr>
  </w:style>
  <w:style w:type="paragraph" w:styleId="BodyTextIndent2">
    <w:name w:val="Body Text Indent 2"/>
    <w:basedOn w:val="Normal"/>
    <w:link w:val="BodyTextIndent2Char"/>
    <w:unhideWhenUsed/>
    <w:rsid w:val="00217C81"/>
    <w:pPr>
      <w:spacing w:after="120" w:line="480" w:lineRule="auto"/>
      <w:ind w:left="283"/>
    </w:pPr>
  </w:style>
  <w:style w:type="character" w:customStyle="1" w:styleId="BodyTextIndent2Char">
    <w:name w:val="Body Text Indent 2 Char"/>
    <w:basedOn w:val="DefaultParagraphFont"/>
    <w:link w:val="BodyTextIndent2"/>
    <w:rsid w:val="00217C81"/>
    <w:rPr>
      <w:rFonts w:eastAsia="MingLiU" w:asciiTheme="minorHAnsi" w:hAnsiTheme="minorHAnsi"/>
      <w:sz w:val="22"/>
      <w:szCs w:val="22"/>
    </w:rPr>
  </w:style>
  <w:style w:type="character" w:styleId="Emphasis">
    <w:name w:val="Emphasis"/>
    <w:basedOn w:val="DefaultParagraphFont"/>
    <w:uiPriority w:val="20"/>
    <w:qFormat/>
    <w:rsid w:val="00484342"/>
    <w:rPr>
      <w:b/>
      <w:bCs/>
      <w:i w:val="0"/>
      <w:iCs w:val="0"/>
    </w:rPr>
  </w:style>
  <w:style w:type="character" w:customStyle="1" w:styleId="st1">
    <w:name w:val="st1"/>
    <w:basedOn w:val="DefaultParagraphFont"/>
    <w:rsid w:val="00484342"/>
  </w:style>
  <w:style w:type="paragraph" w:customStyle="1" w:styleId="Level1">
    <w:name w:val="Level 1"/>
    <w:basedOn w:val="Normal"/>
    <w:qFormat/>
    <w:rsid w:val="00DC71AB"/>
    <w:pPr>
      <w:numPr>
        <w:numId w:val="27"/>
      </w:numPr>
      <w:spacing w:after="240" w:line="312" w:lineRule="auto"/>
      <w:outlineLvl w:val="0"/>
    </w:pPr>
    <w:rPr>
      <w:rFonts w:ascii="Verdana" w:eastAsia="Times New Roman" w:hAnsi="Verdana"/>
      <w:sz w:val="20"/>
      <w:szCs w:val="20"/>
    </w:rPr>
  </w:style>
  <w:style w:type="paragraph" w:customStyle="1" w:styleId="Level2">
    <w:name w:val="Level 2"/>
    <w:basedOn w:val="Normal"/>
    <w:uiPriority w:val="99"/>
    <w:qFormat/>
    <w:rsid w:val="00DC71AB"/>
    <w:pPr>
      <w:numPr>
        <w:ilvl w:val="1"/>
        <w:numId w:val="27"/>
      </w:numPr>
      <w:spacing w:after="240" w:line="312" w:lineRule="auto"/>
      <w:outlineLvl w:val="1"/>
    </w:pPr>
    <w:rPr>
      <w:rFonts w:ascii="Verdana" w:eastAsia="Times New Roman" w:hAnsi="Verdana"/>
      <w:sz w:val="20"/>
      <w:szCs w:val="20"/>
    </w:rPr>
  </w:style>
  <w:style w:type="paragraph" w:customStyle="1" w:styleId="Level3">
    <w:name w:val="Level 3"/>
    <w:basedOn w:val="Normal"/>
    <w:qFormat/>
    <w:rsid w:val="00DC71AB"/>
    <w:pPr>
      <w:numPr>
        <w:ilvl w:val="2"/>
        <w:numId w:val="27"/>
      </w:numPr>
      <w:spacing w:after="240" w:line="312" w:lineRule="auto"/>
      <w:outlineLvl w:val="2"/>
    </w:pPr>
    <w:rPr>
      <w:rFonts w:ascii="Verdana" w:eastAsia="Times New Roman" w:hAnsi="Verdana"/>
      <w:sz w:val="20"/>
      <w:szCs w:val="20"/>
    </w:rPr>
  </w:style>
  <w:style w:type="paragraph" w:customStyle="1" w:styleId="Level4">
    <w:name w:val="Level 4"/>
    <w:basedOn w:val="Normal"/>
    <w:qFormat/>
    <w:rsid w:val="00DC71AB"/>
    <w:pPr>
      <w:numPr>
        <w:ilvl w:val="3"/>
        <w:numId w:val="27"/>
      </w:numPr>
      <w:spacing w:after="240" w:line="312" w:lineRule="auto"/>
      <w:outlineLvl w:val="3"/>
    </w:pPr>
    <w:rPr>
      <w:rFonts w:ascii="Verdana" w:eastAsia="Times New Roman" w:hAnsi="Verdana"/>
      <w:sz w:val="20"/>
      <w:szCs w:val="20"/>
    </w:rPr>
  </w:style>
  <w:style w:type="paragraph" w:customStyle="1" w:styleId="Level5">
    <w:name w:val="Level 5"/>
    <w:basedOn w:val="Normal"/>
    <w:qFormat/>
    <w:rsid w:val="00DC71AB"/>
    <w:pPr>
      <w:numPr>
        <w:ilvl w:val="4"/>
        <w:numId w:val="27"/>
      </w:numPr>
      <w:spacing w:after="240" w:line="312" w:lineRule="auto"/>
      <w:outlineLvl w:val="4"/>
    </w:pPr>
    <w:rPr>
      <w:rFonts w:ascii="Verdana" w:eastAsia="Times New Roman" w:hAnsi="Verdana"/>
      <w:sz w:val="20"/>
      <w:szCs w:val="20"/>
    </w:rPr>
  </w:style>
  <w:style w:type="character" w:customStyle="1" w:styleId="hgkelc">
    <w:name w:val="hgkelc"/>
    <w:basedOn w:val="DefaultParagraphFont"/>
    <w:rsid w:val="0008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4214</Words>
  <Characters>22649</Characters>
  <Application>Microsoft Office Word</Application>
  <DocSecurity>0</DocSecurity>
  <Lines>196</Lines>
  <Paragraphs>176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